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C4244">
      <w:pPr>
        <w:widowControl w:val="0"/>
        <w:bidi w:val="0"/>
        <w:adjustRightInd w:val="0"/>
        <w:snapToGrid w:val="0"/>
        <w:spacing w:after="0" w:line="580" w:lineRule="exact"/>
        <w:contextualSpacing/>
        <w:jc w:val="both"/>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附件3</w:t>
      </w:r>
    </w:p>
    <w:p w14:paraId="40BBBD0D"/>
    <w:p w14:paraId="48A1D500"/>
    <w:p w14:paraId="0F0FADF6"/>
    <w:p w14:paraId="768E3E53">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6"/>
          <w:szCs w:val="36"/>
          <w:lang w:eastAsia="zh-CN"/>
        </w:rPr>
      </w:pPr>
      <w:r>
        <w:rPr>
          <w:rFonts w:hint="eastAsia" w:ascii="方正公文小标宋" w:hAnsi="方正公文小标宋" w:eastAsia="方正公文小标宋" w:cs="方正公文小标宋"/>
          <w:b w:val="0"/>
          <w:bCs w:val="0"/>
          <w:color w:val="auto"/>
          <w:kern w:val="36"/>
          <w:sz w:val="36"/>
          <w:szCs w:val="36"/>
          <w:lang w:eastAsia="zh-CN"/>
        </w:rPr>
        <w:t>城央绿地“生态—循环—共享”一体化提升的</w:t>
      </w:r>
    </w:p>
    <w:p w14:paraId="7F9CA6BB">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6"/>
          <w:szCs w:val="36"/>
          <w:lang w:eastAsia="zh-CN"/>
        </w:rPr>
      </w:pPr>
      <w:r>
        <w:rPr>
          <w:rFonts w:hint="eastAsia" w:ascii="方正公文小标宋" w:hAnsi="方正公文小标宋" w:eastAsia="方正公文小标宋" w:cs="方正公文小标宋"/>
          <w:b w:val="0"/>
          <w:bCs w:val="0"/>
          <w:color w:val="auto"/>
          <w:kern w:val="36"/>
          <w:sz w:val="36"/>
          <w:szCs w:val="36"/>
          <w:lang w:eastAsia="zh-CN"/>
        </w:rPr>
        <w:t>越秀样板森林</w:t>
      </w:r>
      <w:r>
        <w:rPr>
          <w:rFonts w:hint="eastAsia" w:ascii="方正公文小标宋" w:hAnsi="方正公文小标宋" w:eastAsia="方正公文小标宋" w:cs="方正公文小标宋"/>
          <w:b w:val="0"/>
          <w:bCs w:val="0"/>
          <w:color w:val="auto"/>
          <w:kern w:val="36"/>
          <w:sz w:val="36"/>
          <w:szCs w:val="36"/>
          <w:lang w:val="en-US" w:eastAsia="zh-CN"/>
        </w:rPr>
        <w:t>生</w:t>
      </w:r>
      <w:r>
        <w:rPr>
          <w:rFonts w:hint="eastAsia" w:ascii="方正公文小标宋" w:hAnsi="方正公文小标宋" w:eastAsia="方正公文小标宋" w:cs="方正公文小标宋"/>
          <w:b w:val="0"/>
          <w:bCs w:val="0"/>
          <w:color w:val="auto"/>
          <w:kern w:val="36"/>
          <w:sz w:val="36"/>
          <w:szCs w:val="36"/>
          <w:lang w:eastAsia="zh-CN"/>
        </w:rPr>
        <w:t>态系统提升与维护项目</w:t>
      </w:r>
    </w:p>
    <w:p w14:paraId="26DA5267">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6"/>
          <w:szCs w:val="36"/>
          <w:lang w:eastAsia="zh-CN"/>
        </w:rPr>
      </w:pPr>
      <w:r>
        <w:rPr>
          <w:rFonts w:hint="eastAsia" w:ascii="方正公文小标宋" w:hAnsi="方正公文小标宋" w:eastAsia="方正公文小标宋" w:cs="方正公文小标宋"/>
          <w:b w:val="0"/>
          <w:bCs w:val="0"/>
          <w:color w:val="auto"/>
          <w:kern w:val="36"/>
          <w:sz w:val="36"/>
          <w:szCs w:val="36"/>
          <w:lang w:eastAsia="zh-CN"/>
        </w:rPr>
        <w:t>承担单位</w:t>
      </w:r>
      <w:r>
        <w:rPr>
          <w:rFonts w:hint="eastAsia" w:ascii="方正公文小标宋" w:hAnsi="方正公文小标宋" w:eastAsia="方正公文小标宋" w:cs="方正公文小标宋"/>
          <w:b w:val="0"/>
          <w:bCs w:val="0"/>
          <w:color w:val="auto"/>
          <w:kern w:val="36"/>
          <w:sz w:val="36"/>
          <w:szCs w:val="36"/>
          <w:lang w:val="en-US" w:eastAsia="zh-CN"/>
        </w:rPr>
        <w:t>公开征集</w:t>
      </w:r>
      <w:r>
        <w:rPr>
          <w:rFonts w:hint="eastAsia" w:ascii="方正公文小标宋" w:hAnsi="方正公文小标宋" w:eastAsia="方正公文小标宋" w:cs="方正公文小标宋"/>
          <w:b w:val="0"/>
          <w:bCs w:val="0"/>
          <w:color w:val="auto"/>
          <w:kern w:val="36"/>
          <w:sz w:val="36"/>
          <w:szCs w:val="36"/>
          <w:lang w:eastAsia="zh-CN"/>
        </w:rPr>
        <w:t>评分表</w:t>
      </w:r>
    </w:p>
    <w:p w14:paraId="2AB66447"/>
    <w:p w14:paraId="3E85DD7E"/>
    <w:p w14:paraId="6648CB5A"/>
    <w:p w14:paraId="1185616E"/>
    <w:p w14:paraId="4E0E9FB0"/>
    <w:p w14:paraId="79AD3A51">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2"/>
          <w:szCs w:val="32"/>
          <w:lang w:eastAsia="zh-CN"/>
        </w:rPr>
      </w:pPr>
      <w:r>
        <w:rPr>
          <w:rFonts w:hint="eastAsia" w:ascii="方正公文小标宋" w:hAnsi="方正公文小标宋" w:eastAsia="方正公文小标宋" w:cs="方正公文小标宋"/>
          <w:b w:val="0"/>
          <w:bCs w:val="0"/>
          <w:color w:val="auto"/>
          <w:kern w:val="36"/>
          <w:sz w:val="32"/>
          <w:szCs w:val="32"/>
          <w:lang w:eastAsia="zh-CN"/>
        </w:rPr>
        <w:t>生态环境部华南环境科学研究所</w:t>
      </w:r>
    </w:p>
    <w:p w14:paraId="2AB9874C">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2"/>
          <w:szCs w:val="32"/>
          <w:lang w:eastAsia="zh-CN"/>
        </w:rPr>
      </w:pPr>
      <w:r>
        <w:rPr>
          <w:rFonts w:hint="eastAsia" w:ascii="方正公文小标宋" w:hAnsi="方正公文小标宋" w:eastAsia="方正公文小标宋" w:cs="方正公文小标宋"/>
          <w:b w:val="0"/>
          <w:bCs w:val="0"/>
          <w:color w:val="auto"/>
          <w:kern w:val="36"/>
          <w:sz w:val="32"/>
          <w:szCs w:val="32"/>
          <w:lang w:eastAsia="zh-CN"/>
        </w:rPr>
        <w:t>2026年</w:t>
      </w:r>
      <w:r>
        <w:rPr>
          <w:rFonts w:hint="eastAsia" w:ascii="方正公文小标宋" w:hAnsi="方正公文小标宋" w:eastAsia="方正公文小标宋" w:cs="方正公文小标宋"/>
          <w:b w:val="0"/>
          <w:bCs w:val="0"/>
          <w:color w:val="auto"/>
          <w:kern w:val="36"/>
          <w:sz w:val="32"/>
          <w:szCs w:val="32"/>
          <w:lang w:val="en-US" w:eastAsia="zh-CN"/>
        </w:rPr>
        <w:t>8</w:t>
      </w:r>
      <w:bookmarkStart w:id="0" w:name="_GoBack"/>
      <w:bookmarkEnd w:id="0"/>
      <w:r>
        <w:rPr>
          <w:rFonts w:hint="eastAsia" w:ascii="方正公文小标宋" w:hAnsi="方正公文小标宋" w:eastAsia="方正公文小标宋" w:cs="方正公文小标宋"/>
          <w:b w:val="0"/>
          <w:bCs w:val="0"/>
          <w:color w:val="auto"/>
          <w:kern w:val="36"/>
          <w:sz w:val="32"/>
          <w:szCs w:val="32"/>
          <w:lang w:eastAsia="zh-CN"/>
        </w:rPr>
        <w:t>月</w:t>
      </w:r>
    </w:p>
    <w:p w14:paraId="26A0E48E">
      <w:r>
        <w:br w:type="page"/>
      </w:r>
    </w:p>
    <w:p w14:paraId="78F6A22F">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eastAsia="zh-CN"/>
        </w:rPr>
      </w:pPr>
      <w:r>
        <w:rPr>
          <w:rFonts w:hint="eastAsia" w:ascii="Times New Roman" w:hAnsi="Times New Roman" w:eastAsia="黑体" w:cstheme="minorBidi"/>
          <w:bCs w:val="0"/>
          <w:color w:val="auto"/>
          <w:kern w:val="2"/>
          <w:sz w:val="32"/>
          <w:szCs w:val="22"/>
          <w:lang w:eastAsia="zh-CN"/>
        </w:rPr>
        <w:t>一、资格和符合性审查</w:t>
      </w:r>
    </w:p>
    <w:p w14:paraId="63A1A040">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评审小组首先对申报文件进行资格和符合性审查。</w:t>
      </w:r>
      <w:r>
        <w:rPr>
          <w:rFonts w:hint="eastAsia" w:ascii="Times New Roman" w:hAnsi="Times New Roman" w:eastAsia="FangSong_GB2312"/>
          <w:kern w:val="2"/>
          <w:sz w:val="32"/>
          <w:lang w:val="en-US" w:eastAsia="zh-CN"/>
        </w:rPr>
        <w:t>承担单位</w:t>
      </w:r>
      <w:r>
        <w:rPr>
          <w:rFonts w:hint="eastAsia" w:ascii="Times New Roman" w:hAnsi="Times New Roman" w:eastAsia="FangSong_GB2312"/>
          <w:kern w:val="2"/>
          <w:sz w:val="32"/>
          <w:lang w:eastAsia="zh-CN"/>
        </w:rPr>
        <w:t>存在下列任一情形的，不进入详细评分：未按要求提交主体资格证明；未由法定代表人或授权代表签字或未加盖公章；报价文件缺失或存在多个选择性报价；申报文件未实质响应项目主要工作内容和服务期限；存在法律法规及</w:t>
      </w:r>
      <w:r>
        <w:rPr>
          <w:rFonts w:hint="eastAsia" w:ascii="Times New Roman" w:hAnsi="Times New Roman" w:eastAsia="FangSong_GB2312"/>
          <w:kern w:val="2"/>
          <w:sz w:val="32"/>
          <w:lang w:val="en-US" w:eastAsia="zh-CN"/>
        </w:rPr>
        <w:t>公告</w:t>
      </w:r>
      <w:r>
        <w:rPr>
          <w:rFonts w:hint="eastAsia" w:ascii="Times New Roman" w:hAnsi="Times New Roman" w:eastAsia="FangSong_GB2312"/>
          <w:kern w:val="2"/>
          <w:sz w:val="32"/>
          <w:lang w:eastAsia="zh-CN"/>
        </w:rPr>
        <w:t>规定的其他无效情形。</w:t>
      </w:r>
    </w:p>
    <w:p w14:paraId="00731A1B">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eastAsia="zh-CN"/>
        </w:rPr>
      </w:pPr>
      <w:r>
        <w:rPr>
          <w:rFonts w:hint="eastAsia" w:ascii="Times New Roman" w:hAnsi="Times New Roman" w:eastAsia="黑体" w:cstheme="minorBidi"/>
          <w:bCs w:val="0"/>
          <w:color w:val="auto"/>
          <w:kern w:val="2"/>
          <w:sz w:val="32"/>
          <w:szCs w:val="22"/>
          <w:lang w:eastAsia="zh-CN"/>
        </w:rPr>
        <w:t>二、详细评分标准</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906"/>
        <w:gridCol w:w="1412"/>
        <w:gridCol w:w="5741"/>
      </w:tblGrid>
      <w:tr w14:paraId="7566B3AE">
        <w:trPr>
          <w:cantSplit/>
          <w:tblHeader/>
          <w:jc w:val="center"/>
        </w:trPr>
        <w:tc>
          <w:tcPr>
            <w:tcW w:w="917" w:type="dxa"/>
            <w:shd w:val="clear" w:color="auto" w:fill="auto"/>
            <w:tcMar>
              <w:top w:w="80" w:type="dxa"/>
              <w:left w:w="100" w:type="dxa"/>
              <w:bottom w:w="80" w:type="dxa"/>
              <w:right w:w="100" w:type="dxa"/>
            </w:tcMar>
            <w:vAlign w:val="center"/>
          </w:tcPr>
          <w:p w14:paraId="4DF6F6C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分项</w:t>
            </w:r>
          </w:p>
        </w:tc>
        <w:tc>
          <w:tcPr>
            <w:tcW w:w="1906" w:type="dxa"/>
            <w:shd w:val="clear" w:color="auto" w:fill="auto"/>
            <w:tcMar>
              <w:top w:w="80" w:type="dxa"/>
              <w:left w:w="100" w:type="dxa"/>
              <w:bottom w:w="80" w:type="dxa"/>
              <w:right w:w="100" w:type="dxa"/>
            </w:tcMar>
            <w:vAlign w:val="center"/>
          </w:tcPr>
          <w:p w14:paraId="024FF56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评审内容</w:t>
            </w:r>
          </w:p>
        </w:tc>
        <w:tc>
          <w:tcPr>
            <w:tcW w:w="1412" w:type="dxa"/>
            <w:shd w:val="clear" w:color="auto" w:fill="auto"/>
            <w:tcMar>
              <w:top w:w="80" w:type="dxa"/>
              <w:left w:w="100" w:type="dxa"/>
              <w:bottom w:w="80" w:type="dxa"/>
              <w:right w:w="100" w:type="dxa"/>
            </w:tcMar>
            <w:vAlign w:val="center"/>
          </w:tcPr>
          <w:p w14:paraId="48E13F7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分值</w:t>
            </w:r>
          </w:p>
        </w:tc>
        <w:tc>
          <w:tcPr>
            <w:tcW w:w="5741" w:type="dxa"/>
            <w:shd w:val="clear" w:color="auto" w:fill="auto"/>
            <w:tcMar>
              <w:top w:w="80" w:type="dxa"/>
              <w:left w:w="100" w:type="dxa"/>
              <w:bottom w:w="80" w:type="dxa"/>
              <w:right w:w="100" w:type="dxa"/>
            </w:tcMar>
            <w:vAlign w:val="center"/>
          </w:tcPr>
          <w:p w14:paraId="0FE8CDF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评分细则</w:t>
            </w:r>
          </w:p>
        </w:tc>
      </w:tr>
      <w:tr w14:paraId="0CD580EF">
        <w:trPr>
          <w:cantSplit/>
          <w:jc w:val="center"/>
        </w:trPr>
        <w:tc>
          <w:tcPr>
            <w:tcW w:w="917" w:type="dxa"/>
            <w:vMerge w:val="restart"/>
            <w:shd w:val="clear" w:color="auto" w:fill="auto"/>
            <w:tcMar>
              <w:top w:w="80" w:type="dxa"/>
              <w:left w:w="100" w:type="dxa"/>
              <w:bottom w:w="80" w:type="dxa"/>
              <w:right w:w="100" w:type="dxa"/>
            </w:tcMar>
            <w:vAlign w:val="center"/>
          </w:tcPr>
          <w:p w14:paraId="4E2F001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商务部分</w:t>
            </w:r>
            <w:r>
              <w:rPr>
                <w:rFonts w:hint="eastAsia" w:ascii="Times New Roman" w:hAnsi="Times New Roman" w:eastAsia="FangSong_GB2312"/>
                <w:kern w:val="2"/>
                <w:sz w:val="32"/>
                <w:lang w:eastAsia="zh-CN"/>
              </w:rPr>
              <w:br w:type="textWrapping"/>
            </w:r>
            <w:r>
              <w:rPr>
                <w:rFonts w:hint="eastAsia" w:ascii="Times New Roman" w:hAnsi="Times New Roman" w:eastAsia="FangSong_GB2312"/>
                <w:kern w:val="2"/>
                <w:sz w:val="32"/>
                <w:lang w:eastAsia="zh-CN"/>
              </w:rPr>
              <w:t>（</w:t>
            </w:r>
            <w:r>
              <w:rPr>
                <w:rFonts w:hint="eastAsia" w:ascii="Times New Roman" w:hAnsi="Times New Roman" w:eastAsia="FangSong_GB2312"/>
                <w:kern w:val="2"/>
                <w:sz w:val="32"/>
                <w:lang w:val="en-US" w:eastAsia="zh-CN"/>
              </w:rPr>
              <w:t>5</w:t>
            </w:r>
            <w:r>
              <w:rPr>
                <w:rFonts w:hint="eastAsia" w:ascii="Times New Roman" w:hAnsi="Times New Roman" w:eastAsia="FangSong_GB2312"/>
                <w:kern w:val="2"/>
                <w:sz w:val="32"/>
                <w:lang w:eastAsia="zh-CN"/>
              </w:rPr>
              <w:t>0分）</w:t>
            </w:r>
          </w:p>
          <w:p w14:paraId="70AF157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p w14:paraId="1EA1E74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p w14:paraId="5654B19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tc>
        <w:tc>
          <w:tcPr>
            <w:tcW w:w="1906" w:type="dxa"/>
            <w:shd w:val="clear" w:color="auto" w:fill="auto"/>
            <w:tcMar>
              <w:top w:w="80" w:type="dxa"/>
              <w:left w:w="100" w:type="dxa"/>
              <w:bottom w:w="80" w:type="dxa"/>
              <w:right w:w="100" w:type="dxa"/>
            </w:tcMar>
            <w:vAlign w:val="center"/>
          </w:tcPr>
          <w:p w14:paraId="68748DF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同类项目业绩</w:t>
            </w:r>
          </w:p>
        </w:tc>
        <w:tc>
          <w:tcPr>
            <w:tcW w:w="1412" w:type="dxa"/>
            <w:shd w:val="clear" w:color="auto" w:fill="auto"/>
            <w:tcMar>
              <w:top w:w="80" w:type="dxa"/>
              <w:left w:w="100" w:type="dxa"/>
              <w:bottom w:w="80" w:type="dxa"/>
              <w:right w:w="100" w:type="dxa"/>
            </w:tcMar>
            <w:vAlign w:val="center"/>
          </w:tcPr>
          <w:p w14:paraId="58E3C5B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2</w:t>
            </w:r>
            <w:r>
              <w:rPr>
                <w:rFonts w:hint="eastAsia" w:ascii="Times New Roman" w:hAnsi="Times New Roman" w:eastAsia="FangSong_GB2312"/>
                <w:kern w:val="2"/>
                <w:sz w:val="32"/>
                <w:lang w:val="en-US" w:eastAsia="zh-CN"/>
              </w:rPr>
              <w:t>5</w:t>
            </w:r>
            <w:r>
              <w:rPr>
                <w:rFonts w:hint="eastAsia" w:ascii="Times New Roman" w:hAnsi="Times New Roman" w:eastAsia="FangSong_GB2312"/>
                <w:kern w:val="2"/>
                <w:sz w:val="32"/>
                <w:lang w:eastAsia="zh-CN"/>
              </w:rPr>
              <w:t>分</w:t>
            </w:r>
          </w:p>
        </w:tc>
        <w:tc>
          <w:tcPr>
            <w:tcW w:w="5741" w:type="dxa"/>
            <w:shd w:val="clear" w:color="auto" w:fill="auto"/>
            <w:tcMar>
              <w:top w:w="80" w:type="dxa"/>
              <w:left w:w="100" w:type="dxa"/>
              <w:bottom w:w="80" w:type="dxa"/>
              <w:right w:w="100" w:type="dxa"/>
            </w:tcMar>
            <w:vAlign w:val="center"/>
          </w:tcPr>
          <w:p w14:paraId="563CCAE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自202</w:t>
            </w:r>
            <w:r>
              <w:rPr>
                <w:rFonts w:hint="eastAsia" w:ascii="Times New Roman" w:hAnsi="Times New Roman" w:eastAsia="FangSong_GB2312"/>
                <w:kern w:val="2"/>
                <w:sz w:val="32"/>
                <w:lang w:val="en-US" w:eastAsia="zh-CN"/>
              </w:rPr>
              <w:t>0</w:t>
            </w:r>
            <w:r>
              <w:rPr>
                <w:rFonts w:hint="eastAsia" w:ascii="Times New Roman" w:hAnsi="Times New Roman" w:eastAsia="FangSong_GB2312"/>
                <w:kern w:val="2"/>
                <w:sz w:val="32"/>
                <w:lang w:eastAsia="zh-CN"/>
              </w:rPr>
              <w:t>年1月1日以来，</w:t>
            </w:r>
            <w:r>
              <w:rPr>
                <w:rFonts w:hint="eastAsia" w:ascii="Times New Roman" w:hAnsi="Times New Roman" w:eastAsia="FangSong_GB2312"/>
                <w:kern w:val="2"/>
                <w:sz w:val="32"/>
                <w:lang w:val="en-US" w:eastAsia="zh-CN"/>
              </w:rPr>
              <w:t>承担单位</w:t>
            </w:r>
            <w:r>
              <w:rPr>
                <w:rFonts w:hint="eastAsia" w:ascii="Times New Roman" w:hAnsi="Times New Roman" w:eastAsia="FangSong_GB2312"/>
                <w:kern w:val="2"/>
                <w:sz w:val="32"/>
                <w:lang w:eastAsia="zh-CN"/>
              </w:rPr>
              <w:t>承担过生态修复、生境营造、</w:t>
            </w:r>
            <w:r>
              <w:rPr>
                <w:rFonts w:hint="eastAsia" w:ascii="Times New Roman" w:hAnsi="Times New Roman" w:eastAsia="FangSong_GB2312"/>
                <w:kern w:val="2"/>
                <w:sz w:val="32"/>
                <w:lang w:val="en-US" w:eastAsia="zh-CN"/>
              </w:rPr>
              <w:t>植物引种</w:t>
            </w:r>
            <w:r>
              <w:rPr>
                <w:rFonts w:hint="eastAsia" w:ascii="Times New Roman" w:hAnsi="Times New Roman" w:eastAsia="FangSong_GB2312"/>
                <w:kern w:val="2"/>
                <w:sz w:val="32"/>
                <w:lang w:eastAsia="zh-CN"/>
              </w:rPr>
              <w:t>、生物多样性建设、</w:t>
            </w:r>
            <w:r>
              <w:rPr>
                <w:rFonts w:hint="eastAsia" w:ascii="Times New Roman" w:hAnsi="Times New Roman" w:eastAsia="FangSong_GB2312"/>
                <w:kern w:val="2"/>
                <w:sz w:val="32"/>
                <w:lang w:val="en-US" w:eastAsia="zh-CN"/>
              </w:rPr>
              <w:t>园林绿化</w:t>
            </w:r>
            <w:r>
              <w:rPr>
                <w:rFonts w:hint="eastAsia" w:ascii="Times New Roman" w:hAnsi="Times New Roman" w:eastAsia="FangSong_GB2312"/>
                <w:kern w:val="2"/>
                <w:sz w:val="32"/>
                <w:lang w:eastAsia="zh-CN"/>
              </w:rPr>
              <w:t>等相关项目的，每提供1项有效业绩得</w:t>
            </w:r>
            <w:r>
              <w:rPr>
                <w:rFonts w:hint="eastAsia" w:ascii="Times New Roman" w:hAnsi="Times New Roman" w:eastAsia="FangSong_GB2312"/>
                <w:kern w:val="2"/>
                <w:sz w:val="32"/>
                <w:lang w:val="en-US" w:eastAsia="zh-CN"/>
              </w:rPr>
              <w:t>5</w:t>
            </w:r>
            <w:r>
              <w:rPr>
                <w:rFonts w:hint="eastAsia" w:ascii="Times New Roman" w:hAnsi="Times New Roman" w:eastAsia="FangSong_GB2312"/>
                <w:kern w:val="2"/>
                <w:sz w:val="32"/>
                <w:lang w:eastAsia="zh-CN"/>
              </w:rPr>
              <w:t>分，最高2</w:t>
            </w:r>
            <w:r>
              <w:rPr>
                <w:rFonts w:hint="eastAsia" w:ascii="Times New Roman" w:hAnsi="Times New Roman" w:eastAsia="FangSong_GB2312"/>
                <w:kern w:val="2"/>
                <w:sz w:val="32"/>
                <w:lang w:val="en-US" w:eastAsia="zh-CN"/>
              </w:rPr>
              <w:t>5</w:t>
            </w:r>
            <w:r>
              <w:rPr>
                <w:rFonts w:hint="eastAsia" w:ascii="Times New Roman" w:hAnsi="Times New Roman" w:eastAsia="FangSong_GB2312"/>
                <w:kern w:val="2"/>
                <w:sz w:val="32"/>
                <w:lang w:eastAsia="zh-CN"/>
              </w:rPr>
              <w:t>分。</w:t>
            </w:r>
            <w:r>
              <w:rPr>
                <w:rFonts w:hint="eastAsia" w:ascii="Times New Roman" w:hAnsi="Times New Roman" w:eastAsia="FangSong_GB2312"/>
                <w:kern w:val="2"/>
                <w:sz w:val="32"/>
                <w:lang w:eastAsia="zh-CN"/>
              </w:rPr>
              <w:br w:type="textWrapping"/>
            </w:r>
            <w:r>
              <w:rPr>
                <w:rFonts w:hint="eastAsia" w:ascii="Times New Roman" w:hAnsi="Times New Roman" w:eastAsia="FangSong_GB2312"/>
                <w:kern w:val="2"/>
                <w:sz w:val="32"/>
                <w:lang w:eastAsia="zh-CN"/>
              </w:rPr>
              <w:t>【证明材料】合同关键页或中标（成交）通知书复印件并加盖公章，须能反映项目名称、服务内容、签订时间和双方盖章；同一项目不重复计分。</w:t>
            </w:r>
          </w:p>
        </w:tc>
      </w:tr>
      <w:tr w14:paraId="7849957F">
        <w:trPr>
          <w:cantSplit/>
          <w:jc w:val="center"/>
        </w:trPr>
        <w:tc>
          <w:tcPr>
            <w:tcW w:w="917" w:type="dxa"/>
            <w:vMerge w:val="continue"/>
            <w:shd w:val="clear" w:color="auto" w:fill="auto"/>
          </w:tcPr>
          <w:p w14:paraId="71CDA5B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tc>
        <w:tc>
          <w:tcPr>
            <w:tcW w:w="1906" w:type="dxa"/>
            <w:shd w:val="clear" w:color="auto" w:fill="auto"/>
            <w:tcMar>
              <w:top w:w="80" w:type="dxa"/>
              <w:left w:w="100" w:type="dxa"/>
              <w:bottom w:w="80" w:type="dxa"/>
              <w:right w:w="100" w:type="dxa"/>
            </w:tcMar>
            <w:vAlign w:val="center"/>
          </w:tcPr>
          <w:p w14:paraId="7EE0CB7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项目负责人</w:t>
            </w:r>
          </w:p>
        </w:tc>
        <w:tc>
          <w:tcPr>
            <w:tcW w:w="1412" w:type="dxa"/>
            <w:shd w:val="clear" w:color="auto" w:fill="auto"/>
            <w:tcMar>
              <w:top w:w="80" w:type="dxa"/>
              <w:left w:w="100" w:type="dxa"/>
              <w:bottom w:w="80" w:type="dxa"/>
              <w:right w:w="100" w:type="dxa"/>
            </w:tcMar>
            <w:vAlign w:val="center"/>
          </w:tcPr>
          <w:p w14:paraId="1482D03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val="en-US" w:eastAsia="zh-CN"/>
              </w:rPr>
              <w:t>10</w:t>
            </w:r>
            <w:r>
              <w:rPr>
                <w:rFonts w:hint="eastAsia" w:ascii="Times New Roman" w:hAnsi="Times New Roman" w:eastAsia="FangSong_GB2312"/>
                <w:kern w:val="2"/>
                <w:sz w:val="32"/>
                <w:lang w:eastAsia="zh-CN"/>
              </w:rPr>
              <w:t>分</w:t>
            </w:r>
          </w:p>
        </w:tc>
        <w:tc>
          <w:tcPr>
            <w:tcW w:w="5741" w:type="dxa"/>
            <w:shd w:val="clear" w:color="auto" w:fill="auto"/>
            <w:tcMar>
              <w:top w:w="80" w:type="dxa"/>
              <w:left w:w="100" w:type="dxa"/>
              <w:bottom w:w="80" w:type="dxa"/>
              <w:right w:w="100" w:type="dxa"/>
            </w:tcMar>
            <w:vAlign w:val="center"/>
          </w:tcPr>
          <w:p w14:paraId="1B8E395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1.项目负责人具有相关专业高级及以上职称的，得</w:t>
            </w:r>
            <w:r>
              <w:rPr>
                <w:rFonts w:hint="eastAsia" w:ascii="Times New Roman" w:hAnsi="Times New Roman" w:eastAsia="FangSong_GB2312"/>
                <w:kern w:val="2"/>
                <w:sz w:val="32"/>
                <w:lang w:val="en-US" w:eastAsia="zh-CN"/>
              </w:rPr>
              <w:t>10</w:t>
            </w:r>
            <w:r>
              <w:rPr>
                <w:rFonts w:hint="eastAsia" w:ascii="Times New Roman" w:hAnsi="Times New Roman" w:eastAsia="FangSong_GB2312"/>
                <w:kern w:val="2"/>
                <w:sz w:val="32"/>
                <w:lang w:eastAsia="zh-CN"/>
              </w:rPr>
              <w:t>分；中级职称的，得</w:t>
            </w:r>
            <w:r>
              <w:rPr>
                <w:rFonts w:hint="eastAsia" w:ascii="Times New Roman" w:hAnsi="Times New Roman" w:eastAsia="FangSong_GB2312"/>
                <w:kern w:val="2"/>
                <w:sz w:val="32"/>
                <w:lang w:val="en-US" w:eastAsia="zh-CN"/>
              </w:rPr>
              <w:t>6</w:t>
            </w:r>
            <w:r>
              <w:rPr>
                <w:rFonts w:hint="eastAsia" w:ascii="Times New Roman" w:hAnsi="Times New Roman" w:eastAsia="FangSong_GB2312"/>
                <w:kern w:val="2"/>
                <w:sz w:val="32"/>
                <w:lang w:eastAsia="zh-CN"/>
              </w:rPr>
              <w:t>分；其他不得分。</w:t>
            </w:r>
            <w:r>
              <w:rPr>
                <w:rFonts w:hint="eastAsia" w:ascii="Times New Roman" w:hAnsi="Times New Roman" w:eastAsia="FangSong_GB2312"/>
                <w:kern w:val="2"/>
                <w:sz w:val="32"/>
                <w:lang w:eastAsia="zh-CN"/>
              </w:rPr>
              <w:br w:type="textWrapping"/>
            </w:r>
            <w:r>
              <w:rPr>
                <w:rFonts w:hint="eastAsia" w:ascii="Times New Roman" w:hAnsi="Times New Roman" w:eastAsia="FangSong_GB2312"/>
                <w:kern w:val="2"/>
                <w:sz w:val="32"/>
                <w:lang w:eastAsia="zh-CN"/>
              </w:rPr>
              <w:t>【证明材料】职称证书、项目合同或其他能证明任职情况的材料及社保证明（</w:t>
            </w:r>
            <w:r>
              <w:rPr>
                <w:rFonts w:hint="eastAsia" w:ascii="Times New Roman" w:hAnsi="Times New Roman" w:eastAsia="FangSong_GB2312"/>
                <w:kern w:val="2"/>
                <w:sz w:val="32"/>
                <w:lang w:val="en-US" w:eastAsia="zh-CN"/>
              </w:rPr>
              <w:t>投标截止时间前三个月中任意一个月在本单位购买的社保证明复印件</w:t>
            </w:r>
            <w:r>
              <w:rPr>
                <w:rFonts w:hint="eastAsia" w:ascii="Times New Roman" w:hAnsi="Times New Roman" w:eastAsia="FangSong_GB2312"/>
                <w:kern w:val="2"/>
                <w:sz w:val="32"/>
                <w:lang w:eastAsia="zh-CN"/>
              </w:rPr>
              <w:t>）。</w:t>
            </w:r>
          </w:p>
        </w:tc>
      </w:tr>
      <w:tr w14:paraId="1941009B">
        <w:trPr>
          <w:cantSplit/>
          <w:jc w:val="center"/>
        </w:trPr>
        <w:tc>
          <w:tcPr>
            <w:tcW w:w="917" w:type="dxa"/>
            <w:vMerge w:val="continue"/>
            <w:shd w:val="clear" w:color="auto" w:fill="auto"/>
          </w:tcPr>
          <w:p w14:paraId="0AE2AC7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tc>
        <w:tc>
          <w:tcPr>
            <w:tcW w:w="1906" w:type="dxa"/>
            <w:shd w:val="clear" w:color="auto" w:fill="auto"/>
            <w:tcMar>
              <w:top w:w="80" w:type="dxa"/>
              <w:left w:w="100" w:type="dxa"/>
              <w:bottom w:w="80" w:type="dxa"/>
              <w:right w:w="100" w:type="dxa"/>
            </w:tcMar>
            <w:vAlign w:val="center"/>
          </w:tcPr>
          <w:p w14:paraId="5F7A554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项目团队配置</w:t>
            </w:r>
          </w:p>
        </w:tc>
        <w:tc>
          <w:tcPr>
            <w:tcW w:w="1412" w:type="dxa"/>
            <w:shd w:val="clear" w:color="auto" w:fill="auto"/>
            <w:tcMar>
              <w:top w:w="80" w:type="dxa"/>
              <w:left w:w="100" w:type="dxa"/>
              <w:bottom w:w="80" w:type="dxa"/>
              <w:right w:w="100" w:type="dxa"/>
            </w:tcMar>
            <w:vAlign w:val="center"/>
          </w:tcPr>
          <w:p w14:paraId="5418DFC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val="en-US" w:eastAsia="zh-CN"/>
              </w:rPr>
              <w:t>15</w:t>
            </w:r>
            <w:r>
              <w:rPr>
                <w:rFonts w:hint="eastAsia" w:ascii="Times New Roman" w:hAnsi="Times New Roman" w:eastAsia="FangSong_GB2312"/>
                <w:kern w:val="2"/>
                <w:sz w:val="32"/>
                <w:lang w:eastAsia="zh-CN"/>
              </w:rPr>
              <w:t>分</w:t>
            </w:r>
          </w:p>
        </w:tc>
        <w:tc>
          <w:tcPr>
            <w:tcW w:w="5741" w:type="dxa"/>
            <w:shd w:val="clear" w:color="auto" w:fill="auto"/>
            <w:tcMar>
              <w:top w:w="80" w:type="dxa"/>
              <w:left w:w="100" w:type="dxa"/>
              <w:bottom w:w="80" w:type="dxa"/>
              <w:right w:w="100" w:type="dxa"/>
            </w:tcMar>
            <w:vAlign w:val="center"/>
          </w:tcPr>
          <w:p w14:paraId="5E10E51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1.</w:t>
            </w:r>
            <w:r>
              <w:rPr>
                <w:rFonts w:hint="eastAsia" w:ascii="Times New Roman" w:hAnsi="Times New Roman" w:eastAsia="FangSong_GB2312"/>
                <w:kern w:val="2"/>
                <w:sz w:val="32"/>
                <w:lang w:val="en-US" w:eastAsia="zh-CN"/>
              </w:rPr>
              <w:t>团队</w:t>
            </w:r>
            <w:r>
              <w:rPr>
                <w:rFonts w:hint="eastAsia" w:ascii="Times New Roman" w:hAnsi="Times New Roman" w:eastAsia="FangSong_GB2312"/>
                <w:kern w:val="2"/>
                <w:sz w:val="32"/>
                <w:lang w:eastAsia="zh-CN"/>
              </w:rPr>
              <w:t>人员具备相关</w:t>
            </w:r>
            <w:r>
              <w:rPr>
                <w:rFonts w:hint="eastAsia" w:ascii="Times New Roman" w:hAnsi="Times New Roman" w:eastAsia="FangSong_GB2312"/>
                <w:kern w:val="2"/>
                <w:sz w:val="32"/>
                <w:lang w:val="en-US" w:eastAsia="zh-CN"/>
              </w:rPr>
              <w:t>技术职称证书</w:t>
            </w:r>
            <w:r>
              <w:rPr>
                <w:rFonts w:hint="eastAsia" w:ascii="Times New Roman" w:hAnsi="Times New Roman" w:eastAsia="FangSong_GB2312"/>
                <w:kern w:val="2"/>
                <w:sz w:val="32"/>
                <w:lang w:eastAsia="zh-CN"/>
              </w:rPr>
              <w:t>，包括</w:t>
            </w:r>
            <w:r>
              <w:rPr>
                <w:rFonts w:hint="eastAsia" w:ascii="Times New Roman" w:hAnsi="Times New Roman" w:eastAsia="FangSong_GB2312"/>
                <w:kern w:val="2"/>
                <w:sz w:val="32"/>
                <w:lang w:val="en-US" w:eastAsia="zh-CN"/>
              </w:rPr>
              <w:t>但不限于</w:t>
            </w:r>
            <w:r>
              <w:rPr>
                <w:rFonts w:hint="eastAsia" w:ascii="Times New Roman" w:hAnsi="Times New Roman" w:eastAsia="FangSong_GB2312"/>
                <w:kern w:val="2"/>
                <w:sz w:val="32"/>
                <w:lang w:eastAsia="zh-CN"/>
              </w:rPr>
              <w:t>：①林业或园林类、②</w:t>
            </w:r>
            <w:r>
              <w:rPr>
                <w:rFonts w:hint="eastAsia" w:ascii="Times New Roman" w:hAnsi="Times New Roman" w:eastAsia="FangSong_GB2312"/>
                <w:kern w:val="2"/>
                <w:sz w:val="32"/>
                <w:lang w:val="en-US" w:eastAsia="zh-CN"/>
              </w:rPr>
              <w:t>植物保护</w:t>
            </w:r>
            <w:r>
              <w:rPr>
                <w:rFonts w:hint="eastAsia" w:ascii="Times New Roman" w:hAnsi="Times New Roman" w:eastAsia="FangSong_GB2312"/>
                <w:kern w:val="2"/>
                <w:sz w:val="32"/>
                <w:lang w:eastAsia="zh-CN"/>
              </w:rPr>
              <w:t>、③</w:t>
            </w:r>
            <w:r>
              <w:rPr>
                <w:rFonts w:hint="eastAsia" w:ascii="Times New Roman" w:hAnsi="Times New Roman" w:eastAsia="FangSong_GB2312"/>
                <w:kern w:val="2"/>
                <w:sz w:val="32"/>
                <w:lang w:val="en-US" w:eastAsia="zh-CN"/>
              </w:rPr>
              <w:t>生态环境</w:t>
            </w:r>
            <w:r>
              <w:rPr>
                <w:rFonts w:hint="eastAsia" w:ascii="Times New Roman" w:hAnsi="Times New Roman" w:eastAsia="FangSong_GB2312"/>
                <w:kern w:val="2"/>
                <w:sz w:val="32"/>
                <w:lang w:eastAsia="zh-CN"/>
              </w:rPr>
              <w:t>、④</w:t>
            </w:r>
            <w:r>
              <w:rPr>
                <w:rFonts w:hint="eastAsia" w:ascii="Times New Roman" w:hAnsi="Times New Roman" w:eastAsia="FangSong_GB2312"/>
                <w:kern w:val="2"/>
                <w:sz w:val="32"/>
                <w:lang w:val="en-US" w:eastAsia="zh-CN"/>
              </w:rPr>
              <w:t>生态保护修复、</w:t>
            </w:r>
            <w:r>
              <w:rPr>
                <w:rFonts w:hint="eastAsia" w:ascii="Times New Roman" w:hAnsi="Times New Roman" w:eastAsia="FangSong_GB2312" w:cstheme="minorBidi"/>
                <w:kern w:val="2"/>
                <w:sz w:val="32"/>
                <w:lang w:val="en-US" w:eastAsia="zh-CN"/>
              </w:rPr>
              <w:t>⑤农艺师</w:t>
            </w:r>
            <w:r>
              <w:rPr>
                <w:rFonts w:hint="eastAsia" w:ascii="Times New Roman" w:hAnsi="Times New Roman" w:eastAsia="FangSong_GB2312"/>
                <w:kern w:val="2"/>
                <w:sz w:val="32"/>
                <w:lang w:eastAsia="zh-CN"/>
              </w:rPr>
              <w:t>等相关</w:t>
            </w:r>
            <w:r>
              <w:rPr>
                <w:rFonts w:hint="eastAsia" w:ascii="Times New Roman" w:hAnsi="Times New Roman" w:eastAsia="FangSong_GB2312"/>
                <w:kern w:val="2"/>
                <w:sz w:val="32"/>
                <w:lang w:val="en-US" w:eastAsia="zh-CN"/>
              </w:rPr>
              <w:t>专业技术职称中级（或以上）</w:t>
            </w:r>
            <w:r>
              <w:rPr>
                <w:rFonts w:hint="eastAsia" w:ascii="Times New Roman" w:hAnsi="Times New Roman" w:eastAsia="FangSong_GB2312"/>
                <w:kern w:val="2"/>
                <w:sz w:val="32"/>
                <w:lang w:eastAsia="zh-CN"/>
              </w:rPr>
              <w:t>，</w:t>
            </w:r>
            <w:r>
              <w:rPr>
                <w:rFonts w:hint="eastAsia" w:ascii="Times New Roman" w:hAnsi="Times New Roman" w:eastAsia="FangSong_GB2312"/>
                <w:kern w:val="2"/>
                <w:sz w:val="32"/>
                <w:lang w:val="en-US" w:eastAsia="zh-CN"/>
              </w:rPr>
              <w:t>每满足一个专业</w:t>
            </w:r>
            <w:r>
              <w:rPr>
                <w:rFonts w:hint="eastAsia" w:ascii="Times New Roman" w:hAnsi="Times New Roman" w:eastAsia="FangSong_GB2312"/>
                <w:kern w:val="2"/>
                <w:sz w:val="32"/>
                <w:lang w:eastAsia="zh-CN"/>
              </w:rPr>
              <w:t>得</w:t>
            </w:r>
            <w:r>
              <w:rPr>
                <w:rFonts w:hint="eastAsia" w:ascii="Times New Roman" w:hAnsi="Times New Roman" w:eastAsia="FangSong_GB2312"/>
                <w:kern w:val="2"/>
                <w:sz w:val="32"/>
                <w:lang w:val="en-US" w:eastAsia="zh-CN"/>
              </w:rPr>
              <w:t>3</w:t>
            </w:r>
            <w:r>
              <w:rPr>
                <w:rFonts w:hint="eastAsia" w:ascii="Times New Roman" w:hAnsi="Times New Roman" w:eastAsia="FangSong_GB2312"/>
                <w:kern w:val="2"/>
                <w:sz w:val="32"/>
                <w:lang w:eastAsia="zh-CN"/>
              </w:rPr>
              <w:t>分，最高</w:t>
            </w:r>
            <w:r>
              <w:rPr>
                <w:rFonts w:hint="eastAsia" w:ascii="Times New Roman" w:hAnsi="Times New Roman" w:eastAsia="FangSong_GB2312"/>
                <w:kern w:val="2"/>
                <w:sz w:val="32"/>
                <w:lang w:val="en-US" w:eastAsia="zh-CN"/>
              </w:rPr>
              <w:t>得15</w:t>
            </w:r>
            <w:r>
              <w:rPr>
                <w:rFonts w:hint="eastAsia" w:ascii="Times New Roman" w:hAnsi="Times New Roman" w:eastAsia="FangSong_GB2312"/>
                <w:kern w:val="2"/>
                <w:sz w:val="32"/>
                <w:lang w:eastAsia="zh-CN"/>
              </w:rPr>
              <w:t>分。</w:t>
            </w:r>
            <w:r>
              <w:rPr>
                <w:rFonts w:hint="eastAsia" w:ascii="Times New Roman" w:hAnsi="Times New Roman" w:eastAsia="FangSong_GB2312"/>
                <w:kern w:val="2"/>
                <w:sz w:val="32"/>
                <w:lang w:val="en-US" w:eastAsia="zh-CN"/>
              </w:rPr>
              <w:t>同一人</w:t>
            </w:r>
            <w:r>
              <w:rPr>
                <w:rFonts w:hint="eastAsia" w:ascii="Times New Roman" w:hAnsi="Times New Roman" w:eastAsia="FangSong_GB2312"/>
                <w:kern w:val="2"/>
                <w:sz w:val="32"/>
                <w:lang w:eastAsia="zh-CN"/>
              </w:rPr>
              <w:t>双专业或多专业技术人员按一个专业计算得分。</w:t>
            </w:r>
            <w:r>
              <w:rPr>
                <w:rFonts w:hint="eastAsia" w:ascii="Times New Roman" w:hAnsi="Times New Roman" w:eastAsia="FangSong_GB2312"/>
                <w:kern w:val="2"/>
                <w:sz w:val="32"/>
                <w:lang w:val="en-US" w:eastAsia="zh-CN"/>
              </w:rPr>
              <w:t>提供有效的职称证明</w:t>
            </w:r>
            <w:r>
              <w:rPr>
                <w:rFonts w:hint="eastAsia" w:ascii="Times New Roman" w:hAnsi="Times New Roman" w:eastAsia="FangSong_GB2312"/>
                <w:kern w:val="2"/>
                <w:sz w:val="32"/>
                <w:lang w:eastAsia="zh-CN"/>
              </w:rPr>
              <w:t>为准。</w:t>
            </w:r>
            <w:r>
              <w:rPr>
                <w:rFonts w:hint="eastAsia" w:ascii="Times New Roman" w:hAnsi="Times New Roman" w:eastAsia="FangSong_GB2312"/>
                <w:kern w:val="2"/>
                <w:sz w:val="32"/>
                <w:lang w:eastAsia="zh-CN"/>
              </w:rPr>
              <w:br w:type="textWrapping"/>
            </w:r>
            <w:r>
              <w:rPr>
                <w:rFonts w:hint="eastAsia" w:ascii="Times New Roman" w:hAnsi="Times New Roman" w:eastAsia="FangSong_GB2312"/>
                <w:kern w:val="2"/>
                <w:sz w:val="32"/>
                <w:lang w:eastAsia="zh-CN"/>
              </w:rPr>
              <w:t>【证明材料】人员表、</w:t>
            </w:r>
            <w:r>
              <w:rPr>
                <w:rFonts w:hint="eastAsia" w:ascii="Times New Roman" w:hAnsi="Times New Roman" w:eastAsia="FangSong_GB2312"/>
                <w:kern w:val="2"/>
                <w:sz w:val="32"/>
                <w:lang w:val="en-US" w:eastAsia="zh-CN"/>
              </w:rPr>
              <w:t>职称证</w:t>
            </w:r>
            <w:r>
              <w:rPr>
                <w:rFonts w:hint="eastAsia" w:ascii="Times New Roman" w:hAnsi="Times New Roman" w:eastAsia="FangSong_GB2312"/>
                <w:kern w:val="2"/>
                <w:sz w:val="32"/>
                <w:lang w:eastAsia="zh-CN"/>
              </w:rPr>
              <w:t>及社保证明（</w:t>
            </w:r>
            <w:r>
              <w:rPr>
                <w:rFonts w:hint="eastAsia" w:ascii="Times New Roman" w:hAnsi="Times New Roman" w:eastAsia="FangSong_GB2312"/>
                <w:kern w:val="2"/>
                <w:sz w:val="32"/>
                <w:lang w:val="en-US" w:eastAsia="zh-CN"/>
              </w:rPr>
              <w:t>投标截止时间前三个月中任意一个月在本单位购买的社保证明复印件</w:t>
            </w:r>
            <w:r>
              <w:rPr>
                <w:rFonts w:hint="eastAsia" w:ascii="Times New Roman" w:hAnsi="Times New Roman" w:eastAsia="FangSong_GB2312"/>
                <w:kern w:val="2"/>
                <w:sz w:val="32"/>
                <w:lang w:eastAsia="zh-CN"/>
              </w:rPr>
              <w:t>）。</w:t>
            </w:r>
          </w:p>
        </w:tc>
      </w:tr>
      <w:tr w14:paraId="1513AFC6">
        <w:trPr>
          <w:cantSplit/>
          <w:jc w:val="center"/>
        </w:trPr>
        <w:tc>
          <w:tcPr>
            <w:tcW w:w="917" w:type="dxa"/>
            <w:shd w:val="clear" w:color="auto" w:fill="auto"/>
            <w:tcMar>
              <w:top w:w="80" w:type="dxa"/>
              <w:left w:w="100" w:type="dxa"/>
              <w:bottom w:w="80" w:type="dxa"/>
              <w:right w:w="100" w:type="dxa"/>
            </w:tcMar>
            <w:vAlign w:val="center"/>
          </w:tcPr>
          <w:p w14:paraId="4974D49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技术部分</w:t>
            </w:r>
            <w:r>
              <w:rPr>
                <w:rFonts w:hint="eastAsia" w:ascii="Times New Roman" w:hAnsi="Times New Roman" w:eastAsia="FangSong_GB2312"/>
                <w:kern w:val="2"/>
                <w:sz w:val="32"/>
                <w:lang w:eastAsia="zh-CN"/>
              </w:rPr>
              <w:br w:type="textWrapping"/>
            </w:r>
            <w:r>
              <w:rPr>
                <w:rFonts w:hint="eastAsia" w:ascii="Times New Roman" w:hAnsi="Times New Roman" w:eastAsia="FangSong_GB2312"/>
                <w:kern w:val="2"/>
                <w:sz w:val="32"/>
                <w:lang w:eastAsia="zh-CN"/>
              </w:rPr>
              <w:t>（40分）</w:t>
            </w:r>
          </w:p>
          <w:p w14:paraId="3894F21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p w14:paraId="2301BEE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p w14:paraId="294CFCE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p w14:paraId="57ED386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p w14:paraId="44BB9B1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p>
        </w:tc>
        <w:tc>
          <w:tcPr>
            <w:tcW w:w="1906" w:type="dxa"/>
            <w:shd w:val="clear" w:color="auto" w:fill="auto"/>
            <w:tcMar>
              <w:top w:w="80" w:type="dxa"/>
              <w:left w:w="100" w:type="dxa"/>
              <w:bottom w:w="80" w:type="dxa"/>
              <w:right w:w="100" w:type="dxa"/>
            </w:tcMar>
            <w:vAlign w:val="center"/>
          </w:tcPr>
          <w:p w14:paraId="32FC263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项目</w:t>
            </w:r>
            <w:r>
              <w:rPr>
                <w:rFonts w:hint="eastAsia" w:ascii="Times New Roman" w:hAnsi="Times New Roman" w:eastAsia="FangSong_GB2312"/>
                <w:kern w:val="2"/>
                <w:sz w:val="32"/>
                <w:lang w:val="en-US" w:eastAsia="zh-CN"/>
              </w:rPr>
              <w:t>实施方案</w:t>
            </w:r>
          </w:p>
        </w:tc>
        <w:tc>
          <w:tcPr>
            <w:tcW w:w="1412" w:type="dxa"/>
            <w:shd w:val="clear" w:color="auto" w:fill="auto"/>
            <w:tcMar>
              <w:top w:w="80" w:type="dxa"/>
              <w:left w:w="100" w:type="dxa"/>
              <w:bottom w:w="80" w:type="dxa"/>
              <w:right w:w="100" w:type="dxa"/>
            </w:tcMar>
            <w:vAlign w:val="center"/>
          </w:tcPr>
          <w:p w14:paraId="10DFF4F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val="en-US" w:eastAsia="zh-CN"/>
              </w:rPr>
              <w:t>40</w:t>
            </w:r>
            <w:r>
              <w:rPr>
                <w:rFonts w:hint="eastAsia" w:ascii="Times New Roman" w:hAnsi="Times New Roman" w:eastAsia="FangSong_GB2312"/>
                <w:kern w:val="2"/>
                <w:sz w:val="32"/>
                <w:lang w:eastAsia="zh-CN"/>
              </w:rPr>
              <w:t>分</w:t>
            </w:r>
          </w:p>
        </w:tc>
        <w:tc>
          <w:tcPr>
            <w:tcW w:w="5741" w:type="dxa"/>
            <w:shd w:val="clear" w:color="auto" w:fill="auto"/>
            <w:tcMar>
              <w:top w:w="80" w:type="dxa"/>
              <w:left w:w="100" w:type="dxa"/>
              <w:bottom w:w="80" w:type="dxa"/>
              <w:right w:w="100" w:type="dxa"/>
            </w:tcMar>
            <w:vAlign w:val="center"/>
          </w:tcPr>
          <w:p w14:paraId="280D567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对</w:t>
            </w:r>
            <w:r>
              <w:rPr>
                <w:rFonts w:hint="eastAsia" w:ascii="Times New Roman" w:hAnsi="Times New Roman" w:eastAsia="FangSong_GB2312"/>
                <w:kern w:val="2"/>
                <w:sz w:val="32"/>
                <w:lang w:val="en-US" w:eastAsia="zh-CN"/>
              </w:rPr>
              <w:t>承担单位的工作方案（包括但不限于对项目的理解</w:t>
            </w:r>
            <w:r>
              <w:rPr>
                <w:rFonts w:hint="eastAsia" w:ascii="Times New Roman" w:hAnsi="Times New Roman" w:eastAsia="FangSong_GB2312"/>
                <w:kern w:val="2"/>
                <w:sz w:val="32"/>
                <w:lang w:eastAsia="zh-CN"/>
              </w:rPr>
              <w:t>、</w:t>
            </w:r>
            <w:r>
              <w:rPr>
                <w:rFonts w:hint="eastAsia" w:ascii="Times New Roman" w:hAnsi="Times New Roman" w:eastAsia="FangSong_GB2312"/>
                <w:kern w:val="2"/>
                <w:sz w:val="32"/>
                <w:lang w:val="en-US" w:eastAsia="zh-CN"/>
              </w:rPr>
              <w:t>生态修复与植物配置</w:t>
            </w:r>
            <w:r>
              <w:rPr>
                <w:rFonts w:hint="eastAsia" w:ascii="Times New Roman" w:hAnsi="Times New Roman" w:eastAsia="FangSong_GB2312"/>
                <w:kern w:val="2"/>
                <w:sz w:val="32"/>
                <w:lang w:eastAsia="zh-CN"/>
              </w:rPr>
              <w:t>、</w:t>
            </w:r>
            <w:r>
              <w:rPr>
                <w:rFonts w:hint="eastAsia" w:ascii="Times New Roman" w:hAnsi="Times New Roman" w:eastAsia="FangSong_GB2312"/>
                <w:kern w:val="2"/>
                <w:sz w:val="32"/>
                <w:lang w:val="en-US" w:eastAsia="zh-CN"/>
              </w:rPr>
              <w:t>基础设施及友好设施建设、施工组织与进度保障、养护维护保障及与</w:t>
            </w:r>
            <w:r>
              <w:rPr>
                <w:rFonts w:hint="eastAsia" w:ascii="Times New Roman" w:hAnsi="Times New Roman" w:eastAsia="FangSong_GB2312"/>
                <w:kern w:val="2"/>
                <w:sz w:val="32"/>
                <w:lang w:eastAsia="zh-CN"/>
              </w:rPr>
              <w:t>宣教活动的衔接</w:t>
            </w:r>
            <w:r>
              <w:rPr>
                <w:rFonts w:hint="eastAsia" w:ascii="Times New Roman" w:hAnsi="Times New Roman" w:eastAsia="FangSong_GB2312"/>
                <w:kern w:val="2"/>
                <w:sz w:val="32"/>
                <w:lang w:val="en-US" w:eastAsia="zh-CN"/>
              </w:rPr>
              <w:t>等）进行横向对比评审，酌情打分</w:t>
            </w:r>
            <w:r>
              <w:rPr>
                <w:rFonts w:hint="eastAsia" w:ascii="Times New Roman" w:hAnsi="Times New Roman" w:eastAsia="FangSong_GB2312"/>
                <w:kern w:val="2"/>
                <w:sz w:val="32"/>
                <w:lang w:eastAsia="zh-CN"/>
              </w:rPr>
              <w:t>。</w:t>
            </w:r>
          </w:p>
        </w:tc>
      </w:tr>
      <w:tr w14:paraId="53DE62D7">
        <w:trPr>
          <w:cantSplit/>
          <w:jc w:val="center"/>
        </w:trPr>
        <w:tc>
          <w:tcPr>
            <w:tcW w:w="917" w:type="dxa"/>
            <w:shd w:val="clear" w:color="auto" w:fill="auto"/>
            <w:tcMar>
              <w:top w:w="80" w:type="dxa"/>
              <w:left w:w="100" w:type="dxa"/>
              <w:bottom w:w="80" w:type="dxa"/>
              <w:right w:w="100" w:type="dxa"/>
            </w:tcMar>
            <w:vAlign w:val="center"/>
          </w:tcPr>
          <w:p w14:paraId="4DF6DBA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价格部分</w:t>
            </w:r>
            <w:r>
              <w:rPr>
                <w:rFonts w:hint="eastAsia" w:ascii="Times New Roman" w:hAnsi="Times New Roman" w:eastAsia="FangSong_GB2312"/>
                <w:kern w:val="2"/>
                <w:sz w:val="32"/>
                <w:lang w:eastAsia="zh-CN"/>
              </w:rPr>
              <w:br w:type="textWrapping"/>
            </w:r>
            <w:r>
              <w:rPr>
                <w:rFonts w:hint="eastAsia" w:ascii="Times New Roman" w:hAnsi="Times New Roman" w:eastAsia="FangSong_GB2312"/>
                <w:kern w:val="2"/>
                <w:sz w:val="32"/>
                <w:lang w:eastAsia="zh-CN"/>
              </w:rPr>
              <w:t>（10分）</w:t>
            </w:r>
          </w:p>
        </w:tc>
        <w:tc>
          <w:tcPr>
            <w:tcW w:w="1906" w:type="dxa"/>
            <w:shd w:val="clear" w:color="auto" w:fill="auto"/>
            <w:tcMar>
              <w:top w:w="80" w:type="dxa"/>
              <w:left w:w="100" w:type="dxa"/>
              <w:bottom w:w="80" w:type="dxa"/>
              <w:right w:w="100" w:type="dxa"/>
            </w:tcMar>
            <w:vAlign w:val="center"/>
          </w:tcPr>
          <w:p w14:paraId="31DACA8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申报报价</w:t>
            </w:r>
          </w:p>
        </w:tc>
        <w:tc>
          <w:tcPr>
            <w:tcW w:w="1412" w:type="dxa"/>
            <w:shd w:val="clear" w:color="auto" w:fill="auto"/>
            <w:tcMar>
              <w:top w:w="80" w:type="dxa"/>
              <w:left w:w="100" w:type="dxa"/>
              <w:bottom w:w="80" w:type="dxa"/>
              <w:right w:w="100" w:type="dxa"/>
            </w:tcMar>
            <w:vAlign w:val="center"/>
          </w:tcPr>
          <w:p w14:paraId="5BF4BFA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10分</w:t>
            </w:r>
          </w:p>
        </w:tc>
        <w:tc>
          <w:tcPr>
            <w:tcW w:w="5741" w:type="dxa"/>
            <w:shd w:val="clear" w:color="auto" w:fill="auto"/>
            <w:tcMar>
              <w:top w:w="80" w:type="dxa"/>
              <w:left w:w="100" w:type="dxa"/>
              <w:bottom w:w="80" w:type="dxa"/>
              <w:right w:w="100" w:type="dxa"/>
            </w:tcMar>
            <w:vAlign w:val="center"/>
          </w:tcPr>
          <w:p w14:paraId="4E873FD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采用低价优先法计算。满足</w:t>
            </w:r>
            <w:r>
              <w:rPr>
                <w:rFonts w:hint="eastAsia" w:ascii="Times New Roman" w:hAnsi="Times New Roman" w:eastAsia="FangSong_GB2312"/>
                <w:kern w:val="2"/>
                <w:sz w:val="32"/>
                <w:lang w:val="en-US" w:eastAsia="zh-CN"/>
              </w:rPr>
              <w:t>公告</w:t>
            </w:r>
            <w:r>
              <w:rPr>
                <w:rFonts w:hint="eastAsia" w:ascii="Times New Roman" w:hAnsi="Times New Roman" w:eastAsia="FangSong_GB2312"/>
                <w:kern w:val="2"/>
                <w:sz w:val="32"/>
                <w:lang w:eastAsia="zh-CN"/>
              </w:rPr>
              <w:t>要求且经评审确认的最低有效报价为评审基准价，其价格分为10分。其他单位价格得分＝（评审基准价÷申报报价）×10。计算结果保留两位小数。</w:t>
            </w:r>
            <w:r>
              <w:rPr>
                <w:rFonts w:hint="eastAsia" w:ascii="Times New Roman" w:hAnsi="Times New Roman" w:eastAsia="FangSong_GB2312"/>
                <w:kern w:val="2"/>
                <w:sz w:val="32"/>
                <w:lang w:eastAsia="zh-CN"/>
              </w:rPr>
              <w:br w:type="textWrapping"/>
            </w:r>
            <w:r>
              <w:rPr>
                <w:rFonts w:hint="eastAsia" w:ascii="Times New Roman" w:hAnsi="Times New Roman" w:eastAsia="FangSong_GB2312"/>
                <w:kern w:val="2"/>
                <w:sz w:val="32"/>
                <w:lang w:eastAsia="zh-CN"/>
              </w:rPr>
              <w:t>申报报价明显低于其他有效报价，可能影响服务质量或诚信履约的，评审小组可要求</w:t>
            </w:r>
            <w:r>
              <w:rPr>
                <w:rFonts w:hint="eastAsia" w:ascii="Times New Roman" w:hAnsi="Times New Roman" w:eastAsia="FangSong_GB2312"/>
                <w:kern w:val="2"/>
                <w:sz w:val="32"/>
                <w:lang w:val="en-US" w:eastAsia="zh-CN"/>
              </w:rPr>
              <w:t>承担</w:t>
            </w:r>
            <w:r>
              <w:rPr>
                <w:rFonts w:hint="eastAsia" w:ascii="Times New Roman" w:hAnsi="Times New Roman" w:eastAsia="FangSong_GB2312"/>
                <w:kern w:val="2"/>
                <w:sz w:val="32"/>
                <w:lang w:eastAsia="zh-CN"/>
              </w:rPr>
              <w:t>单位在合理期限内提供书面说明和证明材料；不能合理说明的，可按无效申报处理。</w:t>
            </w:r>
          </w:p>
        </w:tc>
      </w:tr>
    </w:tbl>
    <w:p w14:paraId="773A8A34">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eastAsia="zh-CN"/>
        </w:rPr>
      </w:pPr>
      <w:r>
        <w:rPr>
          <w:rFonts w:hint="eastAsia" w:ascii="Times New Roman" w:hAnsi="Times New Roman" w:eastAsia="黑体" w:cstheme="minorBidi"/>
          <w:bCs w:val="0"/>
          <w:color w:val="auto"/>
          <w:kern w:val="2"/>
          <w:sz w:val="32"/>
          <w:szCs w:val="22"/>
          <w:lang w:eastAsia="zh-CN"/>
        </w:rPr>
        <w:t>三、评分和排序规则</w:t>
      </w:r>
    </w:p>
    <w:p w14:paraId="3315C48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1.</w:t>
      </w:r>
      <w:r>
        <w:rPr>
          <w:rFonts w:hint="eastAsia" w:ascii="Times New Roman" w:hAnsi="Times New Roman" w:eastAsia="FangSong_GB2312"/>
          <w:kern w:val="2"/>
          <w:sz w:val="32"/>
          <w:lang w:val="en-US" w:eastAsia="zh-CN"/>
        </w:rPr>
        <w:t xml:space="preserve"> </w:t>
      </w:r>
      <w:r>
        <w:rPr>
          <w:rFonts w:hint="eastAsia" w:ascii="Times New Roman" w:hAnsi="Times New Roman" w:eastAsia="FangSong_GB2312"/>
          <w:kern w:val="2"/>
          <w:sz w:val="32"/>
          <w:lang w:eastAsia="zh-CN"/>
        </w:rPr>
        <w:t>评审小组成员独立评分。商务和价格部分按评分标准计分；技术部分取各评审人员评分的算术平均值，计算结果保留两位小数。</w:t>
      </w:r>
    </w:p>
    <w:p w14:paraId="140CA1FC">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2.</w:t>
      </w:r>
      <w:r>
        <w:rPr>
          <w:rFonts w:hint="eastAsia" w:ascii="Times New Roman" w:hAnsi="Times New Roman" w:eastAsia="FangSong_GB2312"/>
          <w:kern w:val="2"/>
          <w:sz w:val="32"/>
          <w:lang w:val="en-US" w:eastAsia="zh-CN"/>
        </w:rPr>
        <w:t xml:space="preserve"> 承担</w:t>
      </w:r>
      <w:r>
        <w:rPr>
          <w:rFonts w:hint="eastAsia" w:ascii="Times New Roman" w:hAnsi="Times New Roman" w:eastAsia="FangSong_GB2312"/>
          <w:kern w:val="2"/>
          <w:sz w:val="32"/>
          <w:lang w:eastAsia="zh-CN"/>
        </w:rPr>
        <w:t>单位综合得分＝商务得分＋技术得分＋价格得分。按综合得分由高到低排序，综合得分最高者原则上为第一中选候选单位。</w:t>
      </w:r>
    </w:p>
    <w:p w14:paraId="6703C70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3.</w:t>
      </w:r>
      <w:r>
        <w:rPr>
          <w:rFonts w:hint="eastAsia" w:ascii="Times New Roman" w:hAnsi="Times New Roman" w:eastAsia="FangSong_GB2312"/>
          <w:kern w:val="2"/>
          <w:sz w:val="32"/>
          <w:lang w:val="en-US" w:eastAsia="zh-CN"/>
        </w:rPr>
        <w:t xml:space="preserve"> </w:t>
      </w:r>
      <w:r>
        <w:rPr>
          <w:rFonts w:hint="eastAsia" w:ascii="Times New Roman" w:hAnsi="Times New Roman" w:eastAsia="FangSong_GB2312"/>
          <w:kern w:val="2"/>
          <w:sz w:val="32"/>
          <w:lang w:eastAsia="zh-CN"/>
        </w:rPr>
        <w:t>综合得分相同的，按技术部分得分由高到低排序；技术得分仍相同的，按申报报价由低到高排序；仍相同的，由评审小组根据课程和活动方案的针对性、专家及团队履约能力和项目风险集体研究确定排序。</w:t>
      </w:r>
    </w:p>
    <w:p w14:paraId="1ECF1FE0">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4.</w:t>
      </w:r>
      <w:r>
        <w:rPr>
          <w:rFonts w:hint="eastAsia" w:ascii="Times New Roman" w:hAnsi="Times New Roman" w:eastAsia="FangSong_GB2312"/>
          <w:kern w:val="2"/>
          <w:sz w:val="32"/>
          <w:lang w:val="en-US" w:eastAsia="zh-CN"/>
        </w:rPr>
        <w:t xml:space="preserve"> </w:t>
      </w:r>
      <w:r>
        <w:rPr>
          <w:rFonts w:hint="eastAsia" w:ascii="Times New Roman" w:hAnsi="Times New Roman" w:eastAsia="FangSong_GB2312"/>
          <w:kern w:val="2"/>
          <w:sz w:val="32"/>
          <w:lang w:eastAsia="zh-CN"/>
        </w:rPr>
        <w:t>算术错误修正规则：大写金额与小写金额不一致的，以大写金额为准；分项金额合计与总价不一致的，以分项金额合计修正总价；单价与数量乘积不一致的，以单价为准修正合价。修正后的报价须经</w:t>
      </w:r>
      <w:r>
        <w:rPr>
          <w:rFonts w:hint="eastAsia" w:ascii="Times New Roman" w:hAnsi="Times New Roman" w:eastAsia="FangSong_GB2312"/>
          <w:kern w:val="2"/>
          <w:sz w:val="32"/>
          <w:lang w:val="en-US" w:eastAsia="zh-CN"/>
        </w:rPr>
        <w:t>承担</w:t>
      </w:r>
      <w:r>
        <w:rPr>
          <w:rFonts w:hint="eastAsia" w:ascii="Times New Roman" w:hAnsi="Times New Roman" w:eastAsia="FangSong_GB2312"/>
          <w:kern w:val="2"/>
          <w:sz w:val="32"/>
          <w:lang w:eastAsia="zh-CN"/>
        </w:rPr>
        <w:t>单位书面确认，拒绝确认的，其申报无效。</w:t>
      </w:r>
    </w:p>
    <w:p w14:paraId="2197ED9D">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5.</w:t>
      </w:r>
      <w:r>
        <w:rPr>
          <w:rFonts w:hint="eastAsia" w:ascii="Times New Roman" w:hAnsi="Times New Roman" w:eastAsia="FangSong_GB2312"/>
          <w:kern w:val="2"/>
          <w:sz w:val="32"/>
          <w:lang w:val="en-US" w:eastAsia="zh-CN"/>
        </w:rPr>
        <w:t xml:space="preserve"> </w:t>
      </w:r>
      <w:r>
        <w:rPr>
          <w:rFonts w:hint="eastAsia" w:ascii="Times New Roman" w:hAnsi="Times New Roman" w:eastAsia="FangSong_GB2312"/>
          <w:kern w:val="2"/>
          <w:sz w:val="32"/>
          <w:lang w:eastAsia="zh-CN"/>
        </w:rPr>
        <w:t>评审专家依据</w:t>
      </w:r>
      <w:r>
        <w:rPr>
          <w:rFonts w:hint="eastAsia" w:ascii="Times New Roman" w:hAnsi="Times New Roman" w:eastAsia="FangSong_GB2312"/>
          <w:kern w:val="2"/>
          <w:sz w:val="32"/>
          <w:lang w:val="en-US" w:eastAsia="zh-CN"/>
        </w:rPr>
        <w:t>承担</w:t>
      </w:r>
      <w:r>
        <w:rPr>
          <w:rFonts w:hint="eastAsia" w:ascii="Times New Roman" w:hAnsi="Times New Roman" w:eastAsia="FangSong_GB2312"/>
          <w:kern w:val="2"/>
          <w:sz w:val="32"/>
          <w:lang w:eastAsia="zh-CN"/>
        </w:rPr>
        <w:t>单位提供的证明材料进行评分。未提供、证明材料不清晰或无法体现评分要素的，相应项不得分。</w:t>
      </w:r>
    </w:p>
    <w:sectPr>
      <w:footerReference r:id="rId5" w:type="default"/>
      <w:pgSz w:w="11906" w:h="16838"/>
      <w:pgMar w:top="1020" w:right="964" w:bottom="1020" w:left="964" w:header="680" w:footer="73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2000000" w:usb3="00000000" w:csb0="2000019F" w:csb1="00000000"/>
  </w:font>
  <w:font w:name="苹方-简">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300000000000000"/>
    <w:charset w:val="80"/>
    <w:family w:val="auto"/>
    <w:pitch w:val="default"/>
    <w:sig w:usb0="E00002FF" w:usb1="7AE7FFFF" w:usb2="00000012" w:usb3="00000000" w:csb0="0002000D" w:csb1="00000000"/>
  </w:font>
  <w:font w:name="ＭＳ 明朝">
    <w:altName w:val="Hiragino Sans"/>
    <w:panose1 w:val="00000000000000000000"/>
    <w:charset w:val="86"/>
    <w:family w:val="auto"/>
    <w:pitch w:val="default"/>
    <w:sig w:usb0="00000000" w:usb1="00000000" w:usb2="00000000" w:usb3="00000000" w:csb0="00000000" w:csb1="00000000"/>
  </w:font>
  <w:font w:name="Noto Serif CJK SC">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Courier">
    <w:altName w:val="苹方-简"/>
    <w:panose1 w:val="02000500000000000000"/>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FangSong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ＭＳ 明朝">
    <w:altName w:val="Hiragino Sans"/>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E2679">
    <w:pPr>
      <w:pStyle w:val="25"/>
      <w:jc w:val="center"/>
    </w:pPr>
    <w:r>
      <w:rPr>
        <w:rFonts w:ascii="Times New Roman" w:hAnsi="Times New Roman" w:eastAsia="Times New Roman"/>
        <w:b w:val="0"/>
        <w:sz w:val="20"/>
      </w:rPr>
      <w:fldChar w:fldCharType="begin"/>
    </w:r>
    <w:r>
      <w:rPr>
        <w:rFonts w:ascii="Times New Roman" w:hAnsi="Times New Roman" w:eastAsia="Times New Roman"/>
        <w:b w:val="0"/>
        <w:sz w:val="20"/>
      </w:rPr>
      <w:instrText xml:space="preserve"> PAGE </w:instrText>
    </w:r>
    <w:r>
      <w:rPr>
        <w:rFonts w:ascii="Times New Roman" w:hAnsi="Times New Roman" w:eastAsia="Times New Roman"/>
        <w:b w:val="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embedSystem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C984B9D"/>
    <w:rsid w:val="3DDF7F5E"/>
    <w:rsid w:val="5BDBA0DE"/>
    <w:rsid w:val="68E50653"/>
    <w:rsid w:val="6FFF78E1"/>
    <w:rsid w:val="76EE2D27"/>
    <w:rsid w:val="77F71065"/>
    <w:rsid w:val="7AF64BBC"/>
    <w:rsid w:val="7BFF37B1"/>
    <w:rsid w:val="7D2EB94F"/>
    <w:rsid w:val="7D4A2601"/>
    <w:rsid w:val="7FBD89DD"/>
    <w:rsid w:val="BF7F0E21"/>
    <w:rsid w:val="CF6C1E1C"/>
    <w:rsid w:val="F7FF65E2"/>
    <w:rsid w:val="FBE70F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60" w:lineRule="auto"/>
    </w:pPr>
    <w:rPr>
      <w:rFonts w:ascii="Noto Serif CJK SC" w:hAnsi="Noto Serif CJK SC" w:eastAsia="Noto Serif CJK SC" w:cstheme="minorBidi"/>
      <w:sz w:val="30"/>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annotation text"/>
    <w:basedOn w:val="1"/>
    <w:semiHidden/>
    <w:unhideWhenUsed/>
    <w:uiPriority w:val="99"/>
    <w:pPr>
      <w:jc w:val="left"/>
    </w:pPr>
  </w:style>
  <w:style w:type="paragraph" w:styleId="18">
    <w:name w:val="Body Text 3"/>
    <w:basedOn w:val="1"/>
    <w:link w:val="147"/>
    <w:unhideWhenUsed/>
    <w:uiPriority w:val="99"/>
    <w:pPr>
      <w:spacing w:after="120"/>
    </w:pPr>
    <w:rPr>
      <w:sz w:val="16"/>
      <w:szCs w:val="16"/>
    </w:rPr>
  </w:style>
  <w:style w:type="paragraph" w:styleId="19">
    <w:name w:val="List Bullet 3"/>
    <w:basedOn w:val="1"/>
    <w:unhideWhenUsed/>
    <w:uiPriority w:val="99"/>
    <w:pPr>
      <w:numPr>
        <w:ilvl w:val="0"/>
        <w:numId w:val="4"/>
      </w:numPr>
      <w:contextualSpacing/>
    </w:pPr>
  </w:style>
  <w:style w:type="paragraph" w:styleId="20">
    <w:name w:val="Body Text"/>
    <w:basedOn w:val="1"/>
    <w:link w:val="145"/>
    <w:unhideWhenUsed/>
    <w:uiPriority w:val="99"/>
    <w:pPr>
      <w:spacing w:after="120"/>
    </w:pPr>
  </w:style>
  <w:style w:type="paragraph" w:styleId="21">
    <w:name w:val="List Number 3"/>
    <w:basedOn w:val="1"/>
    <w:unhideWhenUsed/>
    <w:uiPriority w:val="99"/>
    <w:pPr>
      <w:numPr>
        <w:ilvl w:val="0"/>
        <w:numId w:val="5"/>
      </w:numPr>
      <w:contextualSpacing/>
    </w:pPr>
  </w:style>
  <w:style w:type="paragraph" w:styleId="22">
    <w:name w:val="List 2"/>
    <w:basedOn w:val="1"/>
    <w:unhideWhenUsed/>
    <w:uiPriority w:val="99"/>
    <w:pPr>
      <w:ind w:left="720" w:hanging="360"/>
      <w:contextualSpacing/>
    </w:pPr>
  </w:style>
  <w:style w:type="paragraph" w:styleId="23">
    <w:name w:val="List Continue"/>
    <w:basedOn w:val="1"/>
    <w:unhideWhenUsed/>
    <w:uiPriority w:val="99"/>
    <w:pPr>
      <w:spacing w:after="120"/>
      <w:ind w:left="360"/>
      <w:contextualSpacing/>
    </w:pPr>
  </w:style>
  <w:style w:type="paragraph" w:styleId="24">
    <w:name w:val="List Bullet 2"/>
    <w:basedOn w:val="1"/>
    <w:unhideWhenUsed/>
    <w:uiPriority w:val="99"/>
    <w:pPr>
      <w:numPr>
        <w:ilvl w:val="0"/>
        <w:numId w:val="6"/>
      </w:numPr>
      <w:contextualSpacing/>
    </w:pPr>
  </w:style>
  <w:style w:type="paragraph" w:styleId="25">
    <w:name w:val="footer"/>
    <w:basedOn w:val="1"/>
    <w:link w:val="137"/>
    <w:unhideWhenUsed/>
    <w:uiPriority w:val="99"/>
    <w:pPr>
      <w:tabs>
        <w:tab w:val="center" w:pos="4680"/>
        <w:tab w:val="right" w:pos="9360"/>
      </w:tabs>
      <w:spacing w:after="0" w:line="240" w:lineRule="auto"/>
    </w:pPr>
  </w:style>
  <w:style w:type="paragraph" w:styleId="26">
    <w:name w:val="header"/>
    <w:basedOn w:val="1"/>
    <w:link w:val="136"/>
    <w:unhideWhenUsed/>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uiPriority w:val="99"/>
    <w:pPr>
      <w:ind w:left="360" w:hanging="360"/>
      <w:contextualSpacing/>
    </w:pPr>
  </w:style>
  <w:style w:type="paragraph" w:styleId="29">
    <w:name w:val="Body Text 2"/>
    <w:basedOn w:val="1"/>
    <w:link w:val="146"/>
    <w:unhideWhenUsed/>
    <w:uiPriority w:val="99"/>
    <w:pPr>
      <w:spacing w:after="120" w:line="480" w:lineRule="auto"/>
    </w:pPr>
  </w:style>
  <w:style w:type="paragraph" w:styleId="30">
    <w:name w:val="List Continue 2"/>
    <w:basedOn w:val="1"/>
    <w:unhideWhenUsed/>
    <w:uiPriority w:val="99"/>
    <w:pPr>
      <w:spacing w:after="120"/>
      <w:ind w:left="720"/>
      <w:contextualSpacing/>
    </w:pPr>
  </w:style>
  <w:style w:type="paragraph" w:styleId="31">
    <w:name w:val="List Continue 3"/>
    <w:basedOn w:val="1"/>
    <w:unhideWhenUsed/>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uiPriority w:val="99"/>
  </w:style>
  <w:style w:type="character" w:customStyle="1" w:styleId="137">
    <w:name w:val="Footer Char"/>
    <w:basedOn w:val="133"/>
    <w:link w:val="25"/>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20"/>
    <w:uiPriority w:val="99"/>
  </w:style>
  <w:style w:type="character" w:customStyle="1" w:styleId="146">
    <w:name w:val="Body Text 2 Char"/>
    <w:basedOn w:val="133"/>
    <w:link w:val="29"/>
    <w:uiPriority w:val="99"/>
  </w:style>
  <w:style w:type="character" w:customStyle="1" w:styleId="147">
    <w:name w:val="Body Text 3 Char"/>
    <w:basedOn w:val="133"/>
    <w:link w:val="18"/>
    <w:uiPriority w:val="99"/>
    <w:rPr>
      <w:sz w:val="16"/>
      <w:szCs w:val="16"/>
    </w:rPr>
  </w:style>
  <w:style w:type="character" w:customStyle="1" w:styleId="148">
    <w:name w:val="Macro Text Char"/>
    <w:basedOn w:val="133"/>
    <w:link w:val="2"/>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uiPriority w:val="29"/>
    <w:rPr>
      <w:i/>
      <w:iCs/>
      <w:color w:val="000000" w:themeColor="text1"/>
      <w14:textFill>
        <w14:solidFill>
          <w14:schemeClr w14:val="tx1"/>
        </w14:solidFill>
      </w14:textFill>
    </w:rPr>
  </w:style>
  <w:style w:type="character" w:customStyle="1" w:styleId="151">
    <w:name w:val="Heading 4 Char"/>
    <w:basedOn w:val="133"/>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 w:type="paragraph" w:customStyle="1" w:styleId="165">
    <w:name w:val="TableText"/>
    <w:uiPriority w:val="0"/>
    <w:pPr>
      <w:spacing w:after="0" w:line="276" w:lineRule="auto"/>
    </w:pPr>
    <w:rPr>
      <w:rFonts w:ascii="Noto Serif CJK SC" w:hAnsi="Noto Serif CJK SC" w:eastAsia="Noto Serif CJK SC" w:cstheme="minorBidi"/>
      <w:sz w:val="18"/>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1329</Words>
  <Characters>1355</Characters>
  <Lines>0</Lines>
  <Paragraphs>0</Paragraphs>
  <TotalTime>3</TotalTime>
  <ScaleCrop>false</ScaleCrop>
  <LinksUpToDate>false</LinksUpToDate>
  <CharactersWithSpaces>1360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2013-12-25T23:15:00Z</dcterms:created>
  <dc:creator>生态环境部华南环境科学研究所</dc:creator>
  <dc:description>generated by python-docx</dc:description>
  <cp:lastModifiedBy>吴晓彤 Laurinda</cp:lastModifiedBy>
  <dcterms:modified xsi:type="dcterms:W3CDTF">2026-08-04T16:46:04Z</dcterms:modified>
  <dc:title>附件3 评分表（生态修复）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44636D269988552645C6476AFA4617C3_42</vt:lpwstr>
  </property>
  <property fmtid="{D5CDD505-2E9C-101B-9397-08002B2CF9AE}" pid="4" name="KSOTemplateDocerSaveRecord">
    <vt:lpwstr>eyJoZGlkIjoiYzM5ZTczYzFjOTM4NDM3ZDk3YTY1MzdhZjFmZTIxMDAiLCJ1c2VySWQiOiIxNTEzOTUwMTAzIn0=</vt:lpwstr>
  </property>
</Properties>
</file>