
<file path=[Content_Types].xml><?xml version="1.0" encoding="utf-8"?>
<Types xmlns="http://schemas.openxmlformats.org/package/2006/content-types">
  <Default Extension="xml" ContentType="application/xml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7B3FAF">
      <w:pPr>
        <w:widowControl w:val="0"/>
        <w:bidi w:val="0"/>
        <w:adjustRightInd w:val="0"/>
        <w:snapToGrid w:val="0"/>
        <w:spacing w:after="0" w:line="580" w:lineRule="exact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附件1</w:t>
      </w:r>
    </w:p>
    <w:p w14:paraId="1FA293CD"/>
    <w:p w14:paraId="56DAD33A"/>
    <w:p w14:paraId="25BCE180"/>
    <w:p w14:paraId="5B5C031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240" w:lineRule="auto"/>
        <w:ind w:firstLine="0" w:firstLineChars="0"/>
        <w:contextualSpacing w:val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6"/>
          <w:szCs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6"/>
          <w:szCs w:val="36"/>
          <w:lang w:eastAsia="zh-CN"/>
        </w:rPr>
        <w:t>城央绿地“生态—循环—共享”一体化提升的</w:t>
      </w:r>
    </w:p>
    <w:p w14:paraId="6272FF1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240" w:lineRule="auto"/>
        <w:ind w:firstLine="0" w:firstLineChars="0"/>
        <w:contextualSpacing w:val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6"/>
          <w:szCs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6"/>
          <w:szCs w:val="36"/>
          <w:lang w:eastAsia="zh-CN"/>
        </w:rPr>
        <w:t>越秀样板森林生态系统提升与维护项目</w:t>
      </w:r>
    </w:p>
    <w:p w14:paraId="68949AB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240" w:lineRule="auto"/>
        <w:ind w:firstLine="0" w:firstLineChars="0"/>
        <w:contextualSpacing w:val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6"/>
          <w:szCs w:val="36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6"/>
          <w:szCs w:val="36"/>
          <w:lang w:eastAsia="zh-CN"/>
        </w:rPr>
        <w:t>工作内容及要求</w:t>
      </w:r>
    </w:p>
    <w:p w14:paraId="720964D3"/>
    <w:p w14:paraId="5A1F8865"/>
    <w:p w14:paraId="034431B1"/>
    <w:p w14:paraId="4727A6E8"/>
    <w:p w14:paraId="2BDDE23D"/>
    <w:p w14:paraId="07D29D41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240" w:lineRule="auto"/>
        <w:ind w:firstLine="0" w:firstLineChars="0"/>
        <w:contextualSpacing w:val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2"/>
          <w:szCs w:val="32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2"/>
          <w:szCs w:val="32"/>
          <w:lang w:eastAsia="zh-CN"/>
        </w:rPr>
        <w:t>生态环境部华南环境科学研究所</w:t>
      </w:r>
    </w:p>
    <w:p w14:paraId="5C26886D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00" w:beforeAutospacing="1" w:after="100" w:afterAutospacing="1" w:line="240" w:lineRule="auto"/>
        <w:ind w:firstLine="0" w:firstLineChars="0"/>
        <w:contextualSpacing w:val="0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2"/>
          <w:szCs w:val="32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2"/>
          <w:szCs w:val="32"/>
          <w:lang w:eastAsia="zh-CN"/>
        </w:rPr>
        <w:t>2026年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2"/>
          <w:szCs w:val="32"/>
          <w:lang w:val="en-US" w:eastAsia="zh-CN"/>
        </w:rPr>
        <w:t>8</w:t>
      </w:r>
      <w:bookmarkStart w:id="0" w:name="_GoBack"/>
      <w:bookmarkEnd w:id="0"/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36"/>
          <w:sz w:val="32"/>
          <w:szCs w:val="32"/>
          <w:lang w:eastAsia="zh-CN"/>
        </w:rPr>
        <w:t>月</w:t>
      </w:r>
    </w:p>
    <w:p w14:paraId="7F4A099C">
      <w:r>
        <w:br w:type="page"/>
      </w:r>
    </w:p>
    <w:p w14:paraId="2271CF42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为推进城央绿地“生态—循环—共享”一体化提升的越秀样板项目实施，系统提升越秀公园南秀山片区森林生态系统质量、生物多样性承载能力和生态服务功能，现组织开展“城央绿地“生态—循环—共享”一体化提升的越秀样板森林生态系统提升与维护项目”承担单位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>公开征集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工作。</w:t>
      </w:r>
    </w:p>
    <w:p w14:paraId="2AF62529">
      <w:pPr>
        <w:pStyle w:val="4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</w:pPr>
      <w:r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  <w:t>一、项目概况</w:t>
      </w:r>
    </w:p>
    <w:p w14:paraId="6635E093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（一）项目名称：城央绿地“生态—循环—共享”一体化提升的越秀样板森林生态系统提升与维护项目。</w:t>
      </w:r>
    </w:p>
    <w:p w14:paraId="6780728F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（二）项目地点：广州市越秀公园南秀山片区及经委托方、越秀公园管理方确认的周边衔接区域。</w:t>
      </w:r>
    </w:p>
    <w:p w14:paraId="66C29602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（三）服务期限：自合同签订之日起至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>服务期结束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。原则上于2027年3月31日前完成生态修复方案编制、主要修复施工和设施安装，此后持续开展苗木养护、补植、设施巡检维护、成效监测及验收配合，管护期不低于24个月。</w:t>
      </w:r>
    </w:p>
    <w:p w14:paraId="5A679FB2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（四）总体目标：坚持近自然修复、乡土化配置、低扰动施工和循环利用原则，优化南秀山片区乔—灌—草复层群落结构，改善生态廊道与野生动物微生境，修复和改善必要的游憩和安全设施，完善生物多样性友好设施及生态标识展示系统，形成可持续维护、可监测评估、可展示推广的城央森林生态提升示范。</w:t>
      </w:r>
    </w:p>
    <w:p w14:paraId="65FF07FF">
      <w:pPr>
        <w:pStyle w:val="4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</w:pPr>
      <w:r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  <w:t>二、工作内容</w:t>
      </w:r>
    </w:p>
    <w:p w14:paraId="0EFD7A35">
      <w:pPr>
        <w:pStyle w:val="5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</w:pPr>
      <w:r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  <w:t>（一）生态修复与功能提升方案编制</w:t>
      </w:r>
    </w:p>
    <w:p w14:paraId="136E3017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1.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参与编制《越秀公园南秀山片区生态修复与功能提升方案》，并配套必要的总平面图、节点图、植物配置表、设施清单和工程量清单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291783D4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2.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 方案须通过采购人组织的专家论证，并经越秀公园管理方同意后实施；供应商应根据论证、审批和现场协调意见完成修改完善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046299FD">
      <w:pPr>
        <w:pStyle w:val="5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</w:pPr>
      <w:r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  <w:t>（二）森林生境修复提升及全过程养护</w:t>
      </w:r>
    </w:p>
    <w:p w14:paraId="2F9060AB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1.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完成不少于7000平方米的森林生境修复提升，优先保护现有健康植被和林下土壤，采用低扰动措施，避免大挖大填和不必要的硬质化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0CAF0C27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2.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引入乡土植物不少于20种，种植乔木、花灌木等不少于124株，补植地被不少于320平方米。植物配置应兼顾引鸟、引蝶、食源、蜜源、季相和生态安全，严禁使用具有明显入侵风险或不适宜本地生境的物种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3C15DC36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3.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结合姜弄蝶的生活史、寄主植物、蜜源植物和隐蔽条件，营造适宜的姜弄蝶栖息地生境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64C7466B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4.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开展服务期限内的浇灌、施肥、修剪、复壮、病虫害绿色防控、倒伏加固、枯死苗木更换、地被补植及极端天气后的应急处置等养护工作。苗木综合成活率不得低于95%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793E8B55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5.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建立苗木和修复地块台账，记录植物来源、规格、种植位置、养护过程和补植情况，确保全过程可追溯，提供种植成活率验收材料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414E6B7F">
      <w:pPr>
        <w:pStyle w:val="5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</w:pPr>
      <w:r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  <w:t>（三）基础设施修复与更新</w:t>
      </w:r>
    </w:p>
    <w:p w14:paraId="61C2C92E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1.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在南秀山片区及附近修复或更新步道不少于200米，生态型步道不少于100米，完成断裂石护栏的订制更换和松脱石护栏的加固修复不少于100米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2CF6FA24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2.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材料和工法应符合安全、耐久、防滑、透水、生态友好及公园景观协调要求。施工前后应开展测量记录并形成同点位对比照片等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486099B2">
      <w:pPr>
        <w:pStyle w:val="5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</w:pPr>
      <w:r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  <w:t>（四）生物多样性友好设施建设</w:t>
      </w:r>
    </w:p>
    <w:p w14:paraId="5FB668F2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1.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结合鸟类活动规律和周边照明现状，对不少于20盏灯具的参数或设置提出并实施生物多样性友好优化措施，减少眩光、溢出光和对夜间动物活动的不利影响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04BF570F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2.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设置人工鸟巢不少于15个、昆虫旅馆不少于10个。设施的结构、孔径、材料、朝向、高度和布设位置应根据目标物种习性科学设计，并满足牢固、安全、耐候、可维护和不干扰游客通行的要求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02ED7A9A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3.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定期检查破损、脱落、积水、霉变和占用情况，必要时进行清洁、维修或更换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51D62399">
      <w:pPr>
        <w:pStyle w:val="5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</w:pPr>
      <w:r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  <w:t>（五）植物铭牌及循环材料宣传展示设施设计、制作与安装</w:t>
      </w:r>
    </w:p>
    <w:p w14:paraId="20FE4A2F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1.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衔接生物多样性调查成果，补充、更新乔木、灌木、地被等植物铭牌约1000个，原则上分两批实施（第一批约400个、第二批约600个）。铭牌内容最终点位和文案须经采购人及越秀公园管理方审核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330235E9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2.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设计并安装一套以园林废弃物、废旧外卖餐盒等循环回用材料为主要原料的宣传牌、标签和展示装置，包括立柱式宣传牌不少于10块、展示标签不少于50个、挂片式、翻页式、转盘式、二维码音频牌等适宜本地的互动装置材料不少于50组，并更新维护生态标识牌、生态指示牌等35个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7C4C8399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3.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循环材料的来源、加工工艺和安全性能应符合相关质量和环保要求，不得造成二次污染。所有设施应与公园景观风貌协调，具备防腐、防水、防晒、抗风和便于维护等性能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36B566F7">
      <w:pPr>
        <w:pStyle w:val="4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</w:pPr>
      <w:r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val="en-US" w:eastAsia="zh-CN"/>
        </w:rPr>
        <w:t>三</w:t>
      </w:r>
      <w:r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  <w:t>、双方责任和义务</w:t>
      </w:r>
    </w:p>
    <w:p w14:paraId="7B88CFA2">
      <w:pPr>
        <w:pStyle w:val="5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</w:pPr>
      <w:r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  <w:t>（一）委托方责任和义务</w:t>
      </w:r>
    </w:p>
    <w:p w14:paraId="5B707910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1.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提供或协调提供开展本项目所需的基础资料，协调越秀公园管理方及相关单位，协助办理现场进场和工作衔接。</w:t>
      </w:r>
    </w:p>
    <w:p w14:paraId="094E8192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2.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组织方案审查、专家论证、过程监督和成果验收，及时对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>受托方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报送的方案、材料、样品和变更事项提出意见。</w:t>
      </w:r>
    </w:p>
    <w:p w14:paraId="594BC5C4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3.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及时监督和管理受托方的项目进度和成果，提出委托方的要求，确保受托方能够按委托方的要求完成项目。</w:t>
      </w:r>
    </w:p>
    <w:p w14:paraId="5900E930">
      <w:pPr>
        <w:pStyle w:val="5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</w:pPr>
      <w:r>
        <w:rPr>
          <w:rFonts w:hint="eastAsia" w:ascii="Times New Roman" w:hAnsi="Times New Roman" w:eastAsia="KaiTi_GB2312" w:cstheme="minorBidi"/>
          <w:bCs w:val="0"/>
          <w:color w:val="auto"/>
          <w:kern w:val="2"/>
          <w:sz w:val="32"/>
          <w:lang w:eastAsia="zh-CN"/>
        </w:rPr>
        <w:t>（二）承担单位责任和义务</w:t>
      </w:r>
    </w:p>
    <w:p w14:paraId="672D0B69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1.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组建满足项目需要的专业团队，项目负责人和关键技术人员原则上不得随意更换；确需更换的，应经委托方书面同意，替换人员的资格和能力不得低于原人员。</w:t>
      </w:r>
    </w:p>
    <w:p w14:paraId="1B291F16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2.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对方案、施工、材料、设施、养护和验收资料的真实性、完整性、合规性和质量负责，严格执行经审定方案和委托方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>及越秀公园管理单位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要求，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>并配合委托方完成总项目验收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</w:t>
      </w:r>
    </w:p>
    <w:p w14:paraId="21FB17FA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3.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落实安全生产主体责任，依法为现场人员购买必要保险。因承担单位组织管理、施工操作或材料设施质量造成的人身、财产和生态环境损害，由承担单位依法承担责任。</w:t>
      </w:r>
    </w:p>
    <w:p w14:paraId="721E3FA4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4.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 xml:space="preserve"> 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未经委托方书面同意，不得擅自变更工作范围、技术标准、材料和数量，不得泄露项目数据和资料。</w:t>
      </w:r>
    </w:p>
    <w:p w14:paraId="31062EEE">
      <w:pPr>
        <w:pStyle w:val="4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</w:pPr>
      <w:r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val="en-US" w:eastAsia="zh-CN"/>
        </w:rPr>
        <w:t>四</w:t>
      </w:r>
      <w:r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  <w:t>、质量、安全和环保要求</w:t>
      </w:r>
    </w:p>
    <w:p w14:paraId="090C44EA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（一）质量要求。严格执行国家、广东省、广州市现行有关园林绿化、森林抚育、生态修复、建设工程质量等标准规范；无明确标准的，按经审定方案和合同约定执行。</w:t>
      </w:r>
    </w:p>
    <w:p w14:paraId="21F99EBD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（二）安全要求。施工前开展风险辨识和技术交底，落实高处作业、临时用电、机械操作、边坡和树木作业等安全措施；发现重大安全隐患应立即停工并报告。</w:t>
      </w:r>
    </w:p>
    <w:p w14:paraId="15D5FA05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（三）文明施工。合理安排作业时间和运输路线，控制噪声、扬尘、污水和施工废弃物，保护古树名木、现状植被、土壤、水体、文物和公共设施，做到工完场清。</w:t>
      </w:r>
    </w:p>
    <w:p w14:paraId="74A1D805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（四）应急处置。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>具有突发事件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应急预案，配备必要物资并保持应急响应能力。</w:t>
      </w:r>
    </w:p>
    <w:p w14:paraId="0D850982">
      <w:pPr>
        <w:pStyle w:val="4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</w:pPr>
      <w:r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val="en-US" w:eastAsia="zh-CN"/>
        </w:rPr>
        <w:t>五</w:t>
      </w:r>
      <w:r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  <w:t>、技术服务费用</w:t>
      </w:r>
    </w:p>
    <w:p w14:paraId="4AFA21A0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本项目采用含税人民币合同总价包干方式。报价应包括但不限于方案深化、专家论证配合、苗木和材料采购、运输、装卸、施工、机械、临时措施、设施制作安装、养护补植、巡检维修、保险、税费和完成合同约定工作所需的其他全部费用</w:t>
      </w:r>
      <w:r>
        <w:rPr>
          <w:rFonts w:hint="eastAsia" w:ascii="Times New Roman" w:hAnsi="Times New Roman" w:eastAsia="FangSong_GB2312"/>
          <w:color w:val="000000" w:themeColor="text1"/>
          <w:kern w:val="2"/>
          <w:sz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FangSong_GB2312"/>
          <w:color w:val="000000" w:themeColor="text1"/>
          <w:kern w:val="2"/>
          <w:sz w:val="32"/>
          <w:lang w:val="en-US" w:eastAsia="zh-CN"/>
          <w14:textFill>
            <w14:solidFill>
              <w14:schemeClr w14:val="tx1"/>
            </w14:solidFill>
          </w14:textFill>
        </w:rPr>
        <w:t>技术服务费用总预算为70万元（人民币柒拾万元整）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。除合同约定的变更情形外，委托方不再另行支付其他费用。</w:t>
      </w:r>
    </w:p>
    <w:p w14:paraId="71B5D704">
      <w:pPr>
        <w:pStyle w:val="4"/>
        <w:widowControl w:val="0"/>
        <w:bidi w:val="0"/>
        <w:adjustRightInd w:val="0"/>
        <w:snapToGrid w:val="0"/>
        <w:spacing w:before="0" w:beforeLines="0" w:beforeAutospacing="0" w:after="0" w:afterLines="0" w:afterAutospacing="0" w:line="580" w:lineRule="exact"/>
        <w:ind w:firstLine="643" w:firstLineChars="200"/>
        <w:contextualSpacing/>
        <w:jc w:val="both"/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</w:pPr>
      <w:r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val="en-US" w:eastAsia="zh-CN"/>
        </w:rPr>
        <w:t>六</w:t>
      </w:r>
      <w:r>
        <w:rPr>
          <w:rFonts w:hint="eastAsia" w:ascii="Times New Roman" w:hAnsi="Times New Roman" w:eastAsia="黑体" w:cstheme="minorBidi"/>
          <w:bCs w:val="0"/>
          <w:color w:val="auto"/>
          <w:kern w:val="2"/>
          <w:sz w:val="32"/>
          <w:szCs w:val="22"/>
          <w:lang w:eastAsia="zh-CN"/>
        </w:rPr>
        <w:t>、成果权属与保密</w:t>
      </w:r>
    </w:p>
    <w:p w14:paraId="516DF5EB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项目实施过程中形成的方案、图纸、数据、照片、台账、文案和其他成果，其权属和使用方式按合同约定执行</w:t>
      </w:r>
      <w:r>
        <w:rPr>
          <w:rFonts w:hint="eastAsia" w:ascii="Times New Roman" w:hAnsi="Times New Roman" w:eastAsia="FangSong_GB2312"/>
          <w:kern w:val="2"/>
          <w:sz w:val="32"/>
          <w:lang w:val="en-US" w:eastAsia="zh-CN"/>
        </w:rPr>
        <w:t>并配合委托方开展项目设置的基础设施、生物多样性友好设施等固定资产移交</w:t>
      </w:r>
      <w:r>
        <w:rPr>
          <w:rFonts w:hint="eastAsia" w:ascii="Times New Roman" w:hAnsi="Times New Roman" w:eastAsia="FangSong_GB2312"/>
          <w:kern w:val="2"/>
          <w:sz w:val="32"/>
          <w:lang w:eastAsia="zh-CN"/>
        </w:rPr>
        <w:t>。承担单位应对在履约过程中获悉的非公开资料承担保密义务，未经委托方书面同意不得向第三方披露或用于本项目以外的用途。</w:t>
      </w:r>
    </w:p>
    <w:p w14:paraId="7030A226">
      <w:pPr>
        <w:widowControl w:val="0"/>
        <w:bidi w:val="0"/>
        <w:adjustRightInd w:val="0"/>
        <w:snapToGrid w:val="0"/>
        <w:spacing w:after="0" w:line="580" w:lineRule="exact"/>
        <w:ind w:firstLine="640" w:firstLineChars="200"/>
        <w:contextualSpacing/>
        <w:jc w:val="both"/>
        <w:rPr>
          <w:rFonts w:hint="eastAsia" w:ascii="Times New Roman" w:hAnsi="Times New Roman" w:eastAsia="FangSong_GB2312"/>
          <w:kern w:val="2"/>
          <w:sz w:val="32"/>
          <w:lang w:eastAsia="zh-CN"/>
        </w:rPr>
      </w:pPr>
    </w:p>
    <w:sectPr>
      <w:footerReference r:id="rId5" w:type="default"/>
      <w:pgSz w:w="11906" w:h="16838"/>
      <w:pgMar w:top="1417" w:right="1701" w:bottom="1417" w:left="1701" w:header="680" w:footer="737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苹方-简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ＭＳ 明朝">
    <w:altName w:val="Hiragino Sans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Hiragino Sans">
    <w:panose1 w:val="020B0300000000000000"/>
    <w:charset w:val="80"/>
    <w:family w:val="auto"/>
    <w:pitch w:val="default"/>
    <w:sig w:usb0="E00002FF" w:usb1="7AE7FFFF" w:usb2="00000012" w:usb3="00000000" w:csb0="0002000D" w:csb1="00000000"/>
  </w:font>
  <w:font w:name="ＭＳ 明朝">
    <w:altName w:val="Hiragino San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oto Serif CJK SC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ＭＳ ゴシック">
    <w:altName w:val="Hiragino Sans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Courier">
    <w:altName w:val="苹方-简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KaiTi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Hiragino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ＭＳ ゴシック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23CC27">
    <w:pPr>
      <w:pStyle w:val="24"/>
      <w:jc w:val="center"/>
    </w:pPr>
    <w:r>
      <w:rPr>
        <w:rFonts w:ascii="Times New Roman" w:hAnsi="Times New Roman" w:eastAsia="Times New Roman"/>
        <w:b w:val="0"/>
        <w:sz w:val="20"/>
      </w:rPr>
      <w:fldChar w:fldCharType="begin"/>
    </w:r>
    <w:r>
      <w:rPr>
        <w:rFonts w:ascii="Times New Roman" w:hAnsi="Times New Roman" w:eastAsia="Times New Roman"/>
        <w:b w:val="0"/>
        <w:sz w:val="20"/>
      </w:rPr>
      <w:instrText xml:space="preserve"> PAGE </w:instrText>
    </w:r>
    <w:r>
      <w:rPr>
        <w:rFonts w:ascii="Times New Roman" w:hAnsi="Times New Roman" w:eastAsia="Times New Roman"/>
        <w:b w:val="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6"/>
  <w:embedSystem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6BE7781E"/>
    <w:rsid w:val="6DBDD8BD"/>
    <w:rsid w:val="737AB8A5"/>
    <w:rsid w:val="77F73655"/>
    <w:rsid w:val="7B772F83"/>
    <w:rsid w:val="7BD1A60C"/>
    <w:rsid w:val="7BE7FBEF"/>
    <w:rsid w:val="7DFF2ED6"/>
    <w:rsid w:val="7FFE3398"/>
    <w:rsid w:val="87EE3288"/>
    <w:rsid w:val="B6FF9959"/>
    <w:rsid w:val="CBDD919F"/>
    <w:rsid w:val="D79FDE77"/>
    <w:rsid w:val="DFFF524F"/>
    <w:rsid w:val="E9F87575"/>
    <w:rsid w:val="F3F7B2A7"/>
    <w:rsid w:val="F935A818"/>
    <w:rsid w:val="FB1F4594"/>
    <w:rsid w:val="FDFF1820"/>
    <w:rsid w:val="FE7BD65A"/>
    <w:rsid w:val="FF5B133C"/>
    <w:rsid w:val="FFFFD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60" w:lineRule="auto"/>
    </w:pPr>
    <w:rPr>
      <w:rFonts w:ascii="Noto Serif CJK SC" w:hAnsi="Noto Serif CJK SC" w:eastAsia="Noto Serif CJK SC" w:cstheme="minorBidi"/>
      <w:sz w:val="30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TableText"/>
    <w:uiPriority w:val="0"/>
    <w:pPr>
      <w:spacing w:after="0" w:line="276" w:lineRule="auto"/>
    </w:pPr>
    <w:rPr>
      <w:rFonts w:ascii="Noto Serif CJK SC" w:hAnsi="Noto Serif CJK SC" w:eastAsia="Noto Serif CJK SC" w:cstheme="minorBidi"/>
      <w:sz w:val="21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2013-12-25T23:15:00Z</dcterms:created>
  <dc:creator>生态环境部华南环境科学研究所</dc:creator>
  <dc:description>generated by python-docx</dc:description>
  <cp:lastModifiedBy>吴晓彤 Laurinda</cp:lastModifiedBy>
  <dcterms:modified xsi:type="dcterms:W3CDTF">2026-08-04T16:45:48Z</dcterms:modified>
  <dc:title>附件1 工作内容及要求（生态修复）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3EE14188219BA15A60C7476A47CAF882_42</vt:lpwstr>
  </property>
</Properties>
</file>